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052DB" w14:textId="77777777" w:rsidR="0027255B" w:rsidRDefault="0027255B" w:rsidP="00FA6742">
      <w:pPr>
        <w:ind w:firstLine="720"/>
        <w:rPr>
          <w:rFonts w:ascii="Courier New" w:hAnsi="Courier New" w:cs="Courier New"/>
          <w:sz w:val="20"/>
          <w:szCs w:val="20"/>
        </w:rPr>
      </w:pPr>
    </w:p>
    <w:p w14:paraId="746CDD7E" w14:textId="77777777" w:rsidR="00EE5BDE" w:rsidRDefault="0027255B">
      <w:pPr>
        <w:pStyle w:val="TOC1"/>
        <w:tabs>
          <w:tab w:val="right" w:leader="dot" w:pos="8296"/>
        </w:tabs>
        <w:rPr>
          <w:noProof/>
        </w:rPr>
      </w:pPr>
      <w:r>
        <w:rPr>
          <w:rFonts w:ascii="Courier New" w:hAnsi="Courier New" w:cs="Courier New"/>
          <w:sz w:val="20"/>
          <w:szCs w:val="20"/>
        </w:rPr>
        <w:fldChar w:fldCharType="begin"/>
      </w:r>
      <w:r>
        <w:rPr>
          <w:rFonts w:ascii="Courier New" w:hAnsi="Courier New" w:cs="Courier New"/>
          <w:sz w:val="20"/>
          <w:szCs w:val="20"/>
        </w:rPr>
        <w:instrText xml:space="preserve"> TOC \o "1-3" \h \z \u </w:instrText>
      </w:r>
      <w:r>
        <w:rPr>
          <w:rFonts w:ascii="Courier New" w:hAnsi="Courier New" w:cs="Courier New"/>
          <w:sz w:val="20"/>
          <w:szCs w:val="20"/>
        </w:rPr>
        <w:fldChar w:fldCharType="separate"/>
      </w:r>
      <w:hyperlink w:anchor="_Toc40958543" w:history="1">
        <w:r w:rsidR="00EE5BDE" w:rsidRPr="00BA40B5">
          <w:rPr>
            <w:rStyle w:val="Hyperlink"/>
            <w:noProof/>
          </w:rPr>
          <w:t>Change History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_Toc40958543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2</w:t>
        </w:r>
        <w:r w:rsidR="00EE5BDE">
          <w:rPr>
            <w:noProof/>
            <w:webHidden/>
          </w:rPr>
          <w:fldChar w:fldCharType="end"/>
        </w:r>
      </w:hyperlink>
    </w:p>
    <w:p w14:paraId="0F7A19D2" w14:textId="77777777" w:rsidR="00EE5BDE" w:rsidRDefault="00B81D5C">
      <w:pPr>
        <w:pStyle w:val="TOC1"/>
        <w:tabs>
          <w:tab w:val="right" w:leader="dot" w:pos="8296"/>
        </w:tabs>
        <w:rPr>
          <w:noProof/>
        </w:rPr>
      </w:pPr>
      <w:hyperlink w:anchor="_Toc40958544" w:history="1">
        <w:r w:rsidR="00EE5BDE" w:rsidRPr="00BA40B5">
          <w:rPr>
            <w:rStyle w:val="Hyperlink"/>
            <w:noProof/>
          </w:rPr>
          <w:t>Introduction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_Toc40958544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2</w:t>
        </w:r>
        <w:r w:rsidR="00EE5BDE">
          <w:rPr>
            <w:noProof/>
            <w:webHidden/>
          </w:rPr>
          <w:fldChar w:fldCharType="end"/>
        </w:r>
      </w:hyperlink>
    </w:p>
    <w:p w14:paraId="5A3D4842" w14:textId="77777777" w:rsidR="00EE5BDE" w:rsidRDefault="00B81D5C">
      <w:pPr>
        <w:pStyle w:val="TOC1"/>
        <w:tabs>
          <w:tab w:val="right" w:leader="dot" w:pos="8296"/>
        </w:tabs>
        <w:rPr>
          <w:noProof/>
        </w:rPr>
      </w:pPr>
      <w:hyperlink w:anchor="_Toc40958545" w:history="1">
        <w:r w:rsidR="00EE5BDE" w:rsidRPr="00BA40B5">
          <w:rPr>
            <w:rStyle w:val="Hyperlink"/>
            <w:noProof/>
          </w:rPr>
          <w:t>Schematron Download Content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_Toc40958545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3</w:t>
        </w:r>
        <w:r w:rsidR="00EE5BDE">
          <w:rPr>
            <w:noProof/>
            <w:webHidden/>
          </w:rPr>
          <w:fldChar w:fldCharType="end"/>
        </w:r>
      </w:hyperlink>
    </w:p>
    <w:p w14:paraId="7C09E3F0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46" w:history="1">
        <w:r w:rsidR="00EE5BDE" w:rsidRPr="00BA40B5">
          <w:rPr>
            <w:rStyle w:val="Hyperlink"/>
            <w:noProof/>
          </w:rPr>
          <w:t>Naming Standards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_Toc40958546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3</w:t>
        </w:r>
        <w:r w:rsidR="00EE5BDE">
          <w:rPr>
            <w:noProof/>
            <w:webHidden/>
          </w:rPr>
          <w:fldChar w:fldCharType="end"/>
        </w:r>
      </w:hyperlink>
    </w:p>
    <w:p w14:paraId="227A77D5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47" w:history="1">
        <w:r w:rsidR="00EE5BDE" w:rsidRPr="00BA40B5">
          <w:rPr>
            <w:rStyle w:val="Hyperlink"/>
            <w:noProof/>
          </w:rPr>
          <w:t>Schematron Rules Folder Structure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_Toc40958547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3</w:t>
        </w:r>
        <w:r w:rsidR="00EE5BDE">
          <w:rPr>
            <w:noProof/>
            <w:webHidden/>
          </w:rPr>
          <w:fldChar w:fldCharType="end"/>
        </w:r>
      </w:hyperlink>
    </w:p>
    <w:p w14:paraId="4F53F3C7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48" w:history="1">
        <w:r w:rsidR="00EE5BDE" w:rsidRPr="00BA40B5">
          <w:rPr>
            <w:rStyle w:val="Hyperlink"/>
            <w:noProof/>
          </w:rPr>
          <w:t>Built Rules Folder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_Toc40958548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3</w:t>
        </w:r>
        <w:r w:rsidR="00EE5BDE">
          <w:rPr>
            <w:noProof/>
            <w:webHidden/>
          </w:rPr>
          <w:fldChar w:fldCharType="end"/>
        </w:r>
      </w:hyperlink>
    </w:p>
    <w:p w14:paraId="62BC0B7B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49" w:history="1">
        <w:r w:rsidR="00EE5BDE" w:rsidRPr="00BA40B5">
          <w:rPr>
            <w:rStyle w:val="Hyperlink"/>
            <w:noProof/>
          </w:rPr>
          <w:t>Common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_Toc40958549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3</w:t>
        </w:r>
        <w:r w:rsidR="00EE5BDE">
          <w:rPr>
            <w:noProof/>
            <w:webHidden/>
          </w:rPr>
          <w:fldChar w:fldCharType="end"/>
        </w:r>
      </w:hyperlink>
    </w:p>
    <w:p w14:paraId="631166FE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50" w:history="1">
        <w:r w:rsidR="00EE5BDE" w:rsidRPr="00BA40B5">
          <w:rPr>
            <w:rStyle w:val="Hyperlink"/>
            <w:noProof/>
          </w:rPr>
          <w:t>Lodge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_Toc40958550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4</w:t>
        </w:r>
        <w:r w:rsidR="00EE5BDE">
          <w:rPr>
            <w:noProof/>
            <w:webHidden/>
          </w:rPr>
          <w:fldChar w:fldCharType="end"/>
        </w:r>
      </w:hyperlink>
    </w:p>
    <w:p w14:paraId="2DA8FB09" w14:textId="77777777" w:rsidR="00EE5BDE" w:rsidRDefault="00B81D5C">
      <w:pPr>
        <w:pStyle w:val="TOC1"/>
        <w:tabs>
          <w:tab w:val="right" w:leader="dot" w:pos="8296"/>
        </w:tabs>
        <w:rPr>
          <w:noProof/>
        </w:rPr>
      </w:pPr>
      <w:hyperlink w:anchor="_Toc40958551" w:history="1">
        <w:r w:rsidR="00EE5BDE" w:rsidRPr="00BA40B5">
          <w:rPr>
            <w:rStyle w:val="Hyperlink"/>
            <w:noProof/>
          </w:rPr>
          <w:t>Further Information on the ATO provided Schematron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_Toc40958551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5</w:t>
        </w:r>
        <w:r w:rsidR="00EE5BDE">
          <w:rPr>
            <w:noProof/>
            <w:webHidden/>
          </w:rPr>
          <w:fldChar w:fldCharType="end"/>
        </w:r>
      </w:hyperlink>
    </w:p>
    <w:p w14:paraId="46B35D2A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52" w:history="1">
        <w:r w:rsidR="00EE5BDE" w:rsidRPr="00BA40B5">
          <w:rPr>
            <w:rStyle w:val="Hyperlink"/>
            <w:noProof/>
          </w:rPr>
          <w:t>Functionality not included in the Schematron files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_Toc40958552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5</w:t>
        </w:r>
        <w:r w:rsidR="00EE5BDE">
          <w:rPr>
            <w:noProof/>
            <w:webHidden/>
          </w:rPr>
          <w:fldChar w:fldCharType="end"/>
        </w:r>
      </w:hyperlink>
    </w:p>
    <w:p w14:paraId="6A09E661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53" w:history="1">
        <w:r w:rsidR="00EE5BDE" w:rsidRPr="00BA40B5">
          <w:rPr>
            <w:rStyle w:val="Hyperlink"/>
            <w:noProof/>
          </w:rPr>
          <w:t>Additional functionality in the Schematron files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_Toc40958553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5</w:t>
        </w:r>
        <w:r w:rsidR="00EE5BDE">
          <w:rPr>
            <w:noProof/>
            <w:webHidden/>
          </w:rPr>
          <w:fldChar w:fldCharType="end"/>
        </w:r>
      </w:hyperlink>
    </w:p>
    <w:p w14:paraId="18D7F414" w14:textId="77777777" w:rsidR="00EE5BDE" w:rsidRDefault="00B81D5C">
      <w:pPr>
        <w:pStyle w:val="TOC1"/>
        <w:tabs>
          <w:tab w:val="right" w:leader="dot" w:pos="8296"/>
        </w:tabs>
        <w:rPr>
          <w:noProof/>
        </w:rPr>
      </w:pPr>
      <w:hyperlink w:anchor="_Toc40958554" w:history="1">
        <w:r w:rsidR="00EE5BDE" w:rsidRPr="00BA40B5">
          <w:rPr>
            <w:rStyle w:val="Hyperlink"/>
            <w:noProof/>
          </w:rPr>
          <w:t>How ATO provided Schematron rules can be utilised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_Toc40958554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6</w:t>
        </w:r>
        <w:r w:rsidR="00EE5BDE">
          <w:rPr>
            <w:noProof/>
            <w:webHidden/>
          </w:rPr>
          <w:fldChar w:fldCharType="end"/>
        </w:r>
      </w:hyperlink>
    </w:p>
    <w:p w14:paraId="2FBB58C4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55" w:history="1">
        <w:r w:rsidR="00EE5BDE" w:rsidRPr="00BA40B5">
          <w:rPr>
            <w:rStyle w:val="Hyperlink"/>
            <w:noProof/>
          </w:rPr>
          <w:t>Unit Testing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_Toc40958555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6</w:t>
        </w:r>
        <w:r w:rsidR="00EE5BDE">
          <w:rPr>
            <w:noProof/>
            <w:webHidden/>
          </w:rPr>
          <w:fldChar w:fldCharType="end"/>
        </w:r>
      </w:hyperlink>
    </w:p>
    <w:p w14:paraId="41492534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56" w:history="1">
        <w:r w:rsidR="00EE5BDE" w:rsidRPr="00BA40B5">
          <w:rPr>
            <w:rStyle w:val="Hyperlink"/>
            <w:noProof/>
          </w:rPr>
          <w:t>Rebuilding Schematron rules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_Toc40958556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6</w:t>
        </w:r>
        <w:r w:rsidR="00EE5BDE">
          <w:rPr>
            <w:noProof/>
            <w:webHidden/>
          </w:rPr>
          <w:fldChar w:fldCharType="end"/>
        </w:r>
      </w:hyperlink>
    </w:p>
    <w:p w14:paraId="2E25191A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57" w:history="1">
        <w:r w:rsidR="00EE5BDE" w:rsidRPr="00BA40B5">
          <w:rPr>
            <w:rStyle w:val="Hyperlink"/>
            <w:noProof/>
          </w:rPr>
          <w:t>Run time usage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_Toc40958557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6</w:t>
        </w:r>
        <w:r w:rsidR="00EE5BDE">
          <w:rPr>
            <w:noProof/>
            <w:webHidden/>
          </w:rPr>
          <w:fldChar w:fldCharType="end"/>
        </w:r>
      </w:hyperlink>
    </w:p>
    <w:p w14:paraId="6040D2C9" w14:textId="77777777" w:rsidR="00EE5BDE" w:rsidRDefault="00B81D5C">
      <w:pPr>
        <w:pStyle w:val="TOC1"/>
        <w:tabs>
          <w:tab w:val="right" w:leader="dot" w:pos="8296"/>
        </w:tabs>
        <w:rPr>
          <w:noProof/>
        </w:rPr>
      </w:pPr>
      <w:hyperlink w:anchor="_Toc40958558" w:history="1">
        <w:r w:rsidR="00EE5BDE" w:rsidRPr="00BA40B5">
          <w:rPr>
            <w:rStyle w:val="Hyperlink"/>
            <w:noProof/>
          </w:rPr>
          <w:t>Schematron Overview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_Toc40958558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7</w:t>
        </w:r>
        <w:r w:rsidR="00EE5BDE">
          <w:rPr>
            <w:noProof/>
            <w:webHidden/>
          </w:rPr>
          <w:fldChar w:fldCharType="end"/>
        </w:r>
      </w:hyperlink>
    </w:p>
    <w:p w14:paraId="31E348C7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59" w:history="1">
        <w:r w:rsidR="00EE5BDE" w:rsidRPr="00BA40B5">
          <w:rPr>
            <w:rStyle w:val="Hyperlink"/>
            <w:rFonts w:cs="Times New Roman"/>
            <w:noProof/>
            <w:lang w:val="en-US"/>
          </w:rPr>
          <w:t>Conceptual Model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_Toc40958559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7</w:t>
        </w:r>
        <w:r w:rsidR="00EE5BDE">
          <w:rPr>
            <w:noProof/>
            <w:webHidden/>
          </w:rPr>
          <w:fldChar w:fldCharType="end"/>
        </w:r>
      </w:hyperlink>
    </w:p>
    <w:p w14:paraId="776BD960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60" w:history="1">
        <w:r w:rsidR="00EE5BDE" w:rsidRPr="00BA40B5">
          <w:rPr>
            <w:rStyle w:val="Hyperlink"/>
            <w:rFonts w:cs="Times New Roman"/>
            <w:noProof/>
            <w:lang w:val="en-US"/>
          </w:rPr>
          <w:t>Building Rules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_Toc40958560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7</w:t>
        </w:r>
        <w:r w:rsidR="00EE5BDE">
          <w:rPr>
            <w:noProof/>
            <w:webHidden/>
          </w:rPr>
          <w:fldChar w:fldCharType="end"/>
        </w:r>
      </w:hyperlink>
    </w:p>
    <w:p w14:paraId="7F7F24F8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61" w:history="1">
        <w:r w:rsidR="00EE5BDE" w:rsidRPr="00BA40B5">
          <w:rPr>
            <w:rStyle w:val="Hyperlink"/>
            <w:rFonts w:cs="Times New Roman"/>
            <w:noProof/>
            <w:lang w:val="en-US"/>
          </w:rPr>
          <w:t>Validating Messages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_Toc40958561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8</w:t>
        </w:r>
        <w:r w:rsidR="00EE5BDE">
          <w:rPr>
            <w:noProof/>
            <w:webHidden/>
          </w:rPr>
          <w:fldChar w:fldCharType="end"/>
        </w:r>
      </w:hyperlink>
    </w:p>
    <w:p w14:paraId="4BBA29EA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62" w:history="1">
        <w:r w:rsidR="00EE5BDE" w:rsidRPr="00BA40B5">
          <w:rPr>
            <w:rStyle w:val="Hyperlink"/>
            <w:rFonts w:cs="Times New Roman"/>
            <w:noProof/>
            <w:lang w:val="en-US"/>
          </w:rPr>
          <w:t>Implementation Model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_Toc40958562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8</w:t>
        </w:r>
        <w:r w:rsidR="00EE5BDE">
          <w:rPr>
            <w:noProof/>
            <w:webHidden/>
          </w:rPr>
          <w:fldChar w:fldCharType="end"/>
        </w:r>
      </w:hyperlink>
    </w:p>
    <w:p w14:paraId="3FE6DE88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63" w:history="1">
        <w:r w:rsidR="00EE5BDE" w:rsidRPr="00BA40B5">
          <w:rPr>
            <w:rStyle w:val="Hyperlink"/>
            <w:rFonts w:cs="Times New Roman"/>
            <w:noProof/>
            <w:lang w:val="en-US"/>
          </w:rPr>
          <w:t>Building Rules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_Toc40958563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8</w:t>
        </w:r>
        <w:r w:rsidR="00EE5BDE">
          <w:rPr>
            <w:noProof/>
            <w:webHidden/>
          </w:rPr>
          <w:fldChar w:fldCharType="end"/>
        </w:r>
      </w:hyperlink>
    </w:p>
    <w:p w14:paraId="16F3F029" w14:textId="77777777" w:rsidR="00EE5BDE" w:rsidRDefault="00B81D5C">
      <w:pPr>
        <w:pStyle w:val="TOC3"/>
        <w:tabs>
          <w:tab w:val="right" w:leader="dot" w:pos="8296"/>
        </w:tabs>
        <w:rPr>
          <w:noProof/>
        </w:rPr>
      </w:pPr>
      <w:hyperlink w:anchor="_Toc40958564" w:history="1">
        <w:r w:rsidR="00EE5BDE" w:rsidRPr="00BA40B5">
          <w:rPr>
            <w:rStyle w:val="Hyperlink"/>
            <w:rFonts w:cs="Times New Roman"/>
            <w:noProof/>
            <w:lang w:val="en-US"/>
          </w:rPr>
          <w:t>Validating Messages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_Toc40958564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9</w:t>
        </w:r>
        <w:r w:rsidR="00EE5BDE">
          <w:rPr>
            <w:noProof/>
            <w:webHidden/>
          </w:rPr>
          <w:fldChar w:fldCharType="end"/>
        </w:r>
      </w:hyperlink>
    </w:p>
    <w:p w14:paraId="275105D3" w14:textId="77777777" w:rsidR="00EE5BDE" w:rsidRDefault="00B81D5C">
      <w:pPr>
        <w:pStyle w:val="TOC2"/>
        <w:tabs>
          <w:tab w:val="right" w:leader="dot" w:pos="8296"/>
        </w:tabs>
        <w:rPr>
          <w:noProof/>
        </w:rPr>
      </w:pPr>
      <w:hyperlink w:anchor="_Toc40958565" w:history="1">
        <w:r w:rsidR="00EE5BDE" w:rsidRPr="00BA40B5">
          <w:rPr>
            <w:rStyle w:val="Hyperlink"/>
            <w:rFonts w:cs="Times New Roman"/>
            <w:noProof/>
            <w:lang w:val="en-US"/>
          </w:rPr>
          <w:t>Schematron Home Page Reference</w:t>
        </w:r>
        <w:r w:rsidR="00EE5BDE">
          <w:rPr>
            <w:noProof/>
            <w:webHidden/>
          </w:rPr>
          <w:tab/>
        </w:r>
        <w:r w:rsidR="00EE5BDE">
          <w:rPr>
            <w:noProof/>
            <w:webHidden/>
          </w:rPr>
          <w:fldChar w:fldCharType="begin"/>
        </w:r>
        <w:r w:rsidR="00EE5BDE">
          <w:rPr>
            <w:noProof/>
            <w:webHidden/>
          </w:rPr>
          <w:instrText xml:space="preserve"> PAGEREF _Toc40958565 \h </w:instrText>
        </w:r>
        <w:r w:rsidR="00EE5BDE">
          <w:rPr>
            <w:noProof/>
            <w:webHidden/>
          </w:rPr>
        </w:r>
        <w:r w:rsidR="00EE5BDE">
          <w:rPr>
            <w:noProof/>
            <w:webHidden/>
          </w:rPr>
          <w:fldChar w:fldCharType="separate"/>
        </w:r>
        <w:r w:rsidR="00EE5BDE">
          <w:rPr>
            <w:noProof/>
            <w:webHidden/>
          </w:rPr>
          <w:t>10</w:t>
        </w:r>
        <w:r w:rsidR="00EE5BDE">
          <w:rPr>
            <w:noProof/>
            <w:webHidden/>
          </w:rPr>
          <w:fldChar w:fldCharType="end"/>
        </w:r>
      </w:hyperlink>
    </w:p>
    <w:p w14:paraId="4CF052F3" w14:textId="77777777" w:rsidR="00C875F4" w:rsidRDefault="0027255B" w:rsidP="00A7687A">
      <w:pPr>
        <w:spacing w:after="0"/>
      </w:pPr>
      <w:r>
        <w:fldChar w:fldCharType="end"/>
      </w:r>
    </w:p>
    <w:p w14:paraId="4CF052F4" w14:textId="77777777" w:rsidR="0027255B" w:rsidRDefault="0027255B" w:rsidP="00345307"/>
    <w:p w14:paraId="4CF052F5" w14:textId="77777777" w:rsidR="001340D4" w:rsidRDefault="00CF1D77" w:rsidP="0027255B">
      <w:pPr>
        <w:pStyle w:val="Heading1"/>
      </w:pPr>
      <w:r>
        <w:br w:type="page"/>
      </w:r>
      <w:bookmarkStart w:id="0" w:name="_Toc40958543"/>
      <w:r w:rsidR="001340D4">
        <w:lastRenderedPageBreak/>
        <w:t>Change History</w:t>
      </w:r>
      <w:bookmarkEnd w:id="0"/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60"/>
        <w:gridCol w:w="1620"/>
        <w:gridCol w:w="6480"/>
      </w:tblGrid>
      <w:tr w:rsidR="001340D4" w14:paraId="4CF052F9" w14:textId="77777777">
        <w:trPr>
          <w:trHeight w:val="296"/>
        </w:trPr>
        <w:tc>
          <w:tcPr>
            <w:tcW w:w="126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4CF052F6" w14:textId="77777777" w:rsidR="001340D4" w:rsidRDefault="001340D4" w:rsidP="001B65A1">
            <w:pPr>
              <w:rPr>
                <w:i/>
                <w:color w:val="0080FF"/>
              </w:rPr>
            </w:pPr>
            <w:r>
              <w:rPr>
                <w:i/>
                <w:color w:val="0080FF"/>
              </w:rPr>
              <w:t>Version</w:t>
            </w:r>
          </w:p>
        </w:tc>
        <w:tc>
          <w:tcPr>
            <w:tcW w:w="16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4CF052F7" w14:textId="77777777" w:rsidR="001340D4" w:rsidRDefault="001340D4" w:rsidP="001B65A1">
            <w:pPr>
              <w:rPr>
                <w:i/>
                <w:color w:val="0080FF"/>
              </w:rPr>
            </w:pPr>
            <w:r>
              <w:rPr>
                <w:i/>
                <w:color w:val="0080FF"/>
              </w:rPr>
              <w:t>Revision Date</w:t>
            </w:r>
          </w:p>
        </w:tc>
        <w:tc>
          <w:tcPr>
            <w:tcW w:w="648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4CF052F8" w14:textId="77777777" w:rsidR="001340D4" w:rsidRDefault="001340D4" w:rsidP="001B65A1">
            <w:pPr>
              <w:rPr>
                <w:i/>
                <w:color w:val="0080FF"/>
              </w:rPr>
            </w:pPr>
            <w:r>
              <w:rPr>
                <w:i/>
                <w:color w:val="0080FF"/>
              </w:rPr>
              <w:t>Description</w:t>
            </w:r>
          </w:p>
        </w:tc>
      </w:tr>
      <w:tr w:rsidR="001A5060" w14:paraId="338A8AB0" w14:textId="77777777">
        <w:trPr>
          <w:trHeight w:val="296"/>
        </w:trPr>
        <w:tc>
          <w:tcPr>
            <w:tcW w:w="126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18C671AC" w14:textId="2D63EE96" w:rsidR="001A5060" w:rsidRDefault="001A5060" w:rsidP="001A5060">
            <w:r>
              <w:t>1.</w:t>
            </w:r>
            <w:r>
              <w:t>1</w:t>
            </w:r>
          </w:p>
        </w:tc>
        <w:tc>
          <w:tcPr>
            <w:tcW w:w="16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100399B2" w14:textId="147D012F" w:rsidR="001A5060" w:rsidRDefault="003350FA" w:rsidP="001A5060">
            <w:r>
              <w:t>8</w:t>
            </w:r>
            <w:r w:rsidR="001A5060">
              <w:t xml:space="preserve"> June </w:t>
            </w:r>
            <w:r w:rsidR="001A5060">
              <w:t>2021</w:t>
            </w:r>
          </w:p>
        </w:tc>
        <w:tc>
          <w:tcPr>
            <w:tcW w:w="648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752BFCB4" w14:textId="4B50EF6E" w:rsidR="001A5060" w:rsidRDefault="001A5060" w:rsidP="001A5060">
            <w:r>
              <w:fldChar w:fldCharType="begin" w:fldLock="1"/>
            </w:r>
            <w:r>
              <w:instrText>MERGEFIELD Element.Notes</w:instrText>
            </w:r>
            <w:r>
              <w:fldChar w:fldCharType="end"/>
            </w:r>
            <w:r>
              <w:t xml:space="preserve">Update to </w:t>
            </w:r>
            <w:r>
              <w:t>SSRTR</w:t>
            </w:r>
            <w:r>
              <w:t xml:space="preserve"> code to remove validation rules relating to </w:t>
            </w:r>
            <w:proofErr w:type="spellStart"/>
            <w:proofErr w:type="gramStart"/>
            <w:r>
              <w:t>SuperannuationRollover.UnclaimedSuperannuationMoney.Date</w:t>
            </w:r>
            <w:proofErr w:type="spellEnd"/>
            <w:proofErr w:type="gramEnd"/>
            <w:r>
              <w:t xml:space="preserve"> as </w:t>
            </w:r>
            <w:r w:rsidR="00156A32">
              <w:t xml:space="preserve">it is a USM </w:t>
            </w:r>
            <w:r w:rsidR="008A7A82">
              <w:t>related field only.</w:t>
            </w:r>
          </w:p>
        </w:tc>
      </w:tr>
      <w:tr w:rsidR="001A5060" w14:paraId="4CF052FD" w14:textId="77777777">
        <w:trPr>
          <w:trHeight w:val="296"/>
        </w:trPr>
        <w:tc>
          <w:tcPr>
            <w:tcW w:w="126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4CF052FA" w14:textId="77777777" w:rsidR="001A5060" w:rsidRDefault="001A5060" w:rsidP="001A5060">
            <w:r>
              <w:t>1.0</w:t>
            </w:r>
          </w:p>
        </w:tc>
        <w:tc>
          <w:tcPr>
            <w:tcW w:w="16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4CF052FB" w14:textId="53CF90B6" w:rsidR="001A5060" w:rsidRDefault="001A5060" w:rsidP="001A5060">
            <w:r>
              <w:t>11 June 2020</w:t>
            </w:r>
          </w:p>
        </w:tc>
        <w:tc>
          <w:tcPr>
            <w:tcW w:w="648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</w:tcPr>
          <w:p w14:paraId="4CF052FC" w14:textId="19A55F35" w:rsidR="001A5060" w:rsidRDefault="001A5060" w:rsidP="001A5060">
            <w:r>
              <w:fldChar w:fldCharType="begin" w:fldLock="1"/>
            </w:r>
            <w:r>
              <w:instrText>MERGEFIELD Element.Notes</w:instrText>
            </w:r>
            <w:r>
              <w:fldChar w:fldCharType="end"/>
            </w:r>
            <w:r>
              <w:t>Initial Release for Rollover MIG v3</w:t>
            </w:r>
          </w:p>
        </w:tc>
      </w:tr>
    </w:tbl>
    <w:p w14:paraId="4CF052FE" w14:textId="77777777" w:rsidR="0027255B" w:rsidRDefault="0027255B" w:rsidP="0027255B">
      <w:pPr>
        <w:pStyle w:val="Heading1"/>
      </w:pPr>
      <w:bookmarkStart w:id="1" w:name="_Toc40958544"/>
      <w:r>
        <w:t>Introduction</w:t>
      </w:r>
      <w:bookmarkEnd w:id="1"/>
    </w:p>
    <w:p w14:paraId="4CF052FF" w14:textId="44570B84" w:rsidR="004E71CB" w:rsidRDefault="004E71CB" w:rsidP="004E71CB">
      <w:r>
        <w:t>The purpose of this document is to describe the ATO Schematron files a</w:t>
      </w:r>
      <w:r w:rsidRPr="00345307">
        <w:t xml:space="preserve">vailable for </w:t>
      </w:r>
      <w:r>
        <w:t xml:space="preserve">the </w:t>
      </w:r>
      <w:r w:rsidR="00174D9A">
        <w:t>Super</w:t>
      </w:r>
      <w:r w:rsidR="00D51D9A">
        <w:t>S</w:t>
      </w:r>
      <w:r w:rsidR="00174D9A">
        <w:t xml:space="preserve">tream </w:t>
      </w:r>
      <w:r w:rsidR="00D51D9A">
        <w:t>Rollover</w:t>
      </w:r>
      <w:r w:rsidR="001509D1">
        <w:t>s</w:t>
      </w:r>
      <w:r w:rsidR="00D51D9A">
        <w:t xml:space="preserve">: </w:t>
      </w:r>
      <w:r w:rsidR="00174D9A">
        <w:t xml:space="preserve">Initiate Rollover </w:t>
      </w:r>
      <w:r w:rsidR="00D51D9A">
        <w:t xml:space="preserve">and Rollover Transaction </w:t>
      </w:r>
      <w:r>
        <w:t>(henceforth referred to as</w:t>
      </w:r>
      <w:r w:rsidR="00174D9A">
        <w:t xml:space="preserve"> </w:t>
      </w:r>
      <w:r w:rsidR="00354F0E">
        <w:t>SSIRR</w:t>
      </w:r>
      <w:r w:rsidR="00174D9A">
        <w:t xml:space="preserve"> and </w:t>
      </w:r>
      <w:r w:rsidR="00354F0E">
        <w:t>SSRTR</w:t>
      </w:r>
      <w:r>
        <w:t xml:space="preserve">) </w:t>
      </w:r>
      <w:r w:rsidR="00EE78D7">
        <w:t>interactions</w:t>
      </w:r>
      <w:r>
        <w:t xml:space="preserve">. </w:t>
      </w:r>
    </w:p>
    <w:p w14:paraId="4CF05300" w14:textId="77777777" w:rsidR="0027255B" w:rsidRDefault="0027255B" w:rsidP="00345307">
      <w:r>
        <w:t>This document</w:t>
      </w:r>
      <w:r w:rsidR="00216BAC" w:rsidRPr="001E6B65">
        <w:t xml:space="preserve"> </w:t>
      </w:r>
      <w:r>
        <w:t xml:space="preserve">also explains </w:t>
      </w:r>
      <w:r w:rsidR="00216BAC" w:rsidRPr="001E6B65">
        <w:t xml:space="preserve">how a developer </w:t>
      </w:r>
      <w:r w:rsidR="00AC7654">
        <w:t xml:space="preserve">may </w:t>
      </w:r>
      <w:r w:rsidR="00216BAC" w:rsidRPr="001E6B65">
        <w:t xml:space="preserve">utilise </w:t>
      </w:r>
      <w:r>
        <w:t>the provided Schematron</w:t>
      </w:r>
      <w:r w:rsidR="00216BAC" w:rsidRPr="001E6B65">
        <w:t xml:space="preserve"> </w:t>
      </w:r>
      <w:r>
        <w:t xml:space="preserve">files </w:t>
      </w:r>
      <w:r w:rsidR="00216BAC" w:rsidRPr="001E6B65">
        <w:t>to assist in their own development</w:t>
      </w:r>
      <w:r w:rsidR="00E748B6" w:rsidRPr="001E6B65">
        <w:t>.</w:t>
      </w:r>
    </w:p>
    <w:p w14:paraId="4CF05301" w14:textId="24E6422D" w:rsidR="00E04D94" w:rsidRDefault="00E04D94" w:rsidP="00345307">
      <w:r>
        <w:t>Support for the ATO Schematron files will only be provide</w:t>
      </w:r>
      <w:r w:rsidR="00B91106">
        <w:t xml:space="preserve">d during the build phase for SuperStream Rollovers </w:t>
      </w:r>
      <w:r>
        <w:t>v3.</w:t>
      </w:r>
      <w:r w:rsidR="005D0D21">
        <w:t xml:space="preserve"> Note that this is intended only for B2B rollovers and does not cater for ATO managed services </w:t>
      </w:r>
      <w:r w:rsidR="0032311D">
        <w:t xml:space="preserve">that also use the SuperStream Standard, </w:t>
      </w:r>
      <w:r w:rsidR="005D0D21">
        <w:t>such as Unclaimed Super Money (USM) rollovers</w:t>
      </w:r>
      <w:r w:rsidR="00A47B58">
        <w:t xml:space="preserve"> and Release Authority</w:t>
      </w:r>
      <w:r w:rsidR="005D0D21">
        <w:t>.</w:t>
      </w:r>
    </w:p>
    <w:p w14:paraId="31F40498" w14:textId="77777777" w:rsidR="00EE5BDE" w:rsidRDefault="00EE5BD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  <w:bookmarkStart w:id="2" w:name="_GoBack"/>
      <w:bookmarkEnd w:id="2"/>
    </w:p>
    <w:p w14:paraId="4CF05302" w14:textId="1C422E39" w:rsidR="003D3625" w:rsidRDefault="003D3625" w:rsidP="003D3625">
      <w:pPr>
        <w:pStyle w:val="Heading1"/>
      </w:pPr>
      <w:bookmarkStart w:id="3" w:name="_Toc40958545"/>
      <w:r>
        <w:lastRenderedPageBreak/>
        <w:t>Schematron Download Content</w:t>
      </w:r>
      <w:bookmarkEnd w:id="3"/>
    </w:p>
    <w:p w14:paraId="4CF05303" w14:textId="77777777" w:rsidR="003D3625" w:rsidRDefault="003D3625" w:rsidP="00345307">
      <w:r>
        <w:t xml:space="preserve">This section briefly describes the content available in the </w:t>
      </w:r>
      <w:r w:rsidR="00442C4A">
        <w:t>A</w:t>
      </w:r>
      <w:r w:rsidR="003E47E7">
        <w:t>T</w:t>
      </w:r>
      <w:r w:rsidR="00442C4A">
        <w:t xml:space="preserve">O </w:t>
      </w:r>
      <w:r>
        <w:t>Schematron download</w:t>
      </w:r>
      <w:r w:rsidR="00442C4A">
        <w:t>s</w:t>
      </w:r>
      <w:r>
        <w:t>.</w:t>
      </w:r>
    </w:p>
    <w:p w14:paraId="4CF0530B" w14:textId="0553DC83" w:rsidR="00123236" w:rsidRDefault="00123236" w:rsidP="00592CA5">
      <w:pPr>
        <w:pStyle w:val="Heading2"/>
      </w:pPr>
      <w:bookmarkStart w:id="4" w:name="_Toc40958546"/>
      <w:r>
        <w:t>Naming Standards</w:t>
      </w:r>
      <w:bookmarkEnd w:id="4"/>
    </w:p>
    <w:p w14:paraId="4CF0530C" w14:textId="77777777" w:rsidR="00123236" w:rsidRDefault="00123236" w:rsidP="00123236">
      <w:r>
        <w:t>The following naming standards have been used for the Schematron files.</w:t>
      </w:r>
    </w:p>
    <w:p w14:paraId="4CF0530D" w14:textId="77777777" w:rsidR="00123236" w:rsidRPr="00345307" w:rsidRDefault="00123236" w:rsidP="00A7687A">
      <w:pPr>
        <w:numPr>
          <w:ilvl w:val="0"/>
          <w:numId w:val="34"/>
        </w:numPr>
        <w:spacing w:after="0"/>
      </w:pPr>
      <w:r w:rsidRPr="00345307">
        <w:t xml:space="preserve">All Schematron rule files </w:t>
      </w:r>
      <w:r>
        <w:t xml:space="preserve">end with </w:t>
      </w:r>
      <w:r w:rsidR="000926BD">
        <w:t>a</w:t>
      </w:r>
      <w:r>
        <w:t xml:space="preserve"> </w:t>
      </w:r>
      <w:proofErr w:type="gramStart"/>
      <w:r>
        <w:t>“.sch</w:t>
      </w:r>
      <w:proofErr w:type="gramEnd"/>
      <w:r>
        <w:t>” file extension</w:t>
      </w:r>
      <w:r w:rsidRPr="00345307">
        <w:t>.</w:t>
      </w:r>
    </w:p>
    <w:p w14:paraId="4CF0530E" w14:textId="77777777" w:rsidR="000926BD" w:rsidRPr="00A7687A" w:rsidRDefault="00123236" w:rsidP="00A7687A">
      <w:pPr>
        <w:numPr>
          <w:ilvl w:val="0"/>
          <w:numId w:val="34"/>
        </w:numPr>
      </w:pPr>
      <w:r w:rsidRPr="00345307">
        <w:t xml:space="preserve">The primary rule files (i.e. those that are built into XSL files) use the following naming standard:  </w:t>
      </w:r>
    </w:p>
    <w:p w14:paraId="4CF0530F" w14:textId="77777777" w:rsidR="00123236" w:rsidRDefault="007E3384" w:rsidP="00A7687A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&lt;Operation&gt;</w:t>
      </w:r>
      <w:proofErr w:type="spellStart"/>
      <w:r>
        <w:rPr>
          <w:rFonts w:ascii="Courier New" w:hAnsi="Courier New" w:cs="Courier New"/>
          <w:sz w:val="20"/>
          <w:szCs w:val="20"/>
        </w:rPr>
        <w:t>ValidationRules.sch</w:t>
      </w:r>
      <w:proofErr w:type="spellEnd"/>
    </w:p>
    <w:p w14:paraId="4CF05310" w14:textId="77777777" w:rsidR="00123236" w:rsidRDefault="00123236" w:rsidP="00A7687A">
      <w:pPr>
        <w:numPr>
          <w:ilvl w:val="0"/>
          <w:numId w:val="36"/>
        </w:numPr>
        <w:tabs>
          <w:tab w:val="clear" w:pos="2160"/>
          <w:tab w:val="num" w:pos="1440"/>
        </w:tabs>
        <w:spacing w:after="0"/>
        <w:ind w:left="1440"/>
      </w:pPr>
      <w:r>
        <w:t xml:space="preserve">&lt;Operation&gt; will be </w:t>
      </w:r>
      <w:r w:rsidR="00DC08F0">
        <w:t>L</w:t>
      </w:r>
      <w:r w:rsidR="00B963A2">
        <w:t>odge</w:t>
      </w:r>
      <w:r>
        <w:t>.</w:t>
      </w:r>
      <w:r w:rsidR="007E3384">
        <w:t xml:space="preserve"> </w:t>
      </w:r>
    </w:p>
    <w:p w14:paraId="4CF05311" w14:textId="77777777" w:rsidR="002C425F" w:rsidRPr="00ED1C07" w:rsidRDefault="00314253" w:rsidP="00A7687A">
      <w:pPr>
        <w:spacing w:after="0"/>
        <w:ind w:left="720"/>
        <w:rPr>
          <w:b/>
        </w:rPr>
      </w:pPr>
      <w:proofErr w:type="spellStart"/>
      <w:r w:rsidRPr="00ED1C07">
        <w:rPr>
          <w:b/>
        </w:rPr>
        <w:t>Eg.</w:t>
      </w:r>
      <w:proofErr w:type="spellEnd"/>
      <w:r w:rsidR="00455B7E" w:rsidRPr="00ED1C07">
        <w:rPr>
          <w:b/>
        </w:rPr>
        <w:t xml:space="preserve">  </w:t>
      </w:r>
    </w:p>
    <w:p w14:paraId="4CF05312" w14:textId="7D3F40D6" w:rsidR="00123236" w:rsidRDefault="00314253" w:rsidP="00A7687A">
      <w:pPr>
        <w:spacing w:after="0"/>
        <w:ind w:left="720"/>
      </w:pPr>
      <w:r w:rsidRPr="00314253">
        <w:t>The primary filename for a</w:t>
      </w:r>
      <w:r w:rsidR="00391250">
        <w:t xml:space="preserve"> </w:t>
      </w:r>
      <w:r w:rsidR="00354F0E">
        <w:t>SSIRR</w:t>
      </w:r>
      <w:r w:rsidR="00391250">
        <w:t xml:space="preserve"> –</w:t>
      </w:r>
      <w:r w:rsidR="00EE78D7">
        <w:t xml:space="preserve"> </w:t>
      </w:r>
      <w:r w:rsidR="00DC08F0">
        <w:t>L</w:t>
      </w:r>
      <w:r w:rsidR="00B963A2">
        <w:t>odge</w:t>
      </w:r>
      <w:r w:rsidR="00391250">
        <w:t xml:space="preserve"> </w:t>
      </w:r>
      <w:r w:rsidRPr="00314253">
        <w:t>would be</w:t>
      </w:r>
      <w:r w:rsidR="00123236" w:rsidRPr="00314253">
        <w:t xml:space="preserve">:  </w:t>
      </w:r>
    </w:p>
    <w:p w14:paraId="4CF05313" w14:textId="77777777" w:rsidR="00123236" w:rsidRPr="00314253" w:rsidRDefault="00DC08F0" w:rsidP="007D6E7A">
      <w:pPr>
        <w:ind w:left="144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L</w:t>
      </w:r>
      <w:r w:rsidR="00B963A2">
        <w:rPr>
          <w:rFonts w:ascii="Courier New" w:hAnsi="Courier New" w:cs="Courier New"/>
          <w:sz w:val="20"/>
          <w:szCs w:val="20"/>
        </w:rPr>
        <w:t>odge</w:t>
      </w:r>
      <w:r w:rsidR="00345992" w:rsidRPr="00345992">
        <w:rPr>
          <w:rFonts w:ascii="Courier New" w:hAnsi="Courier New" w:cs="Courier New"/>
          <w:sz w:val="20"/>
          <w:szCs w:val="20"/>
        </w:rPr>
        <w:t>ValidationRules</w:t>
      </w:r>
      <w:r w:rsidR="00314253" w:rsidRPr="00314253">
        <w:rPr>
          <w:rFonts w:ascii="Courier New" w:hAnsi="Courier New" w:cs="Courier New"/>
          <w:sz w:val="20"/>
          <w:szCs w:val="20"/>
        </w:rPr>
        <w:t>.sch</w:t>
      </w:r>
      <w:proofErr w:type="spellEnd"/>
      <w:r w:rsidR="00123236" w:rsidRPr="00314253">
        <w:rPr>
          <w:rFonts w:ascii="Courier New" w:hAnsi="Courier New" w:cs="Courier New"/>
          <w:sz w:val="20"/>
          <w:szCs w:val="20"/>
        </w:rPr>
        <w:t xml:space="preserve"> </w:t>
      </w:r>
    </w:p>
    <w:p w14:paraId="7DFDDDB6" w14:textId="095BA10F" w:rsidR="000B7645" w:rsidRDefault="000B7645" w:rsidP="00123236">
      <w:r w:rsidRPr="000B7645">
        <w:t>The .sch files are compiled into XSL files through a series of steps using the standard ISO Schematron process.  The XSL files are referred to as the Built rules.</w:t>
      </w:r>
    </w:p>
    <w:p w14:paraId="0DC4ED39" w14:textId="712D084E" w:rsidR="000B7645" w:rsidRDefault="0031425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t>The b</w:t>
      </w:r>
      <w:r w:rsidR="00123236">
        <w:t xml:space="preserve">uilt Schematron rule files are placed in the same folder as the primary rule files.  These files will have the same name as the primary </w:t>
      </w:r>
      <w:r w:rsidR="00940C89">
        <w:t xml:space="preserve">Schematron </w:t>
      </w:r>
      <w:r w:rsidR="00123236">
        <w:t>rule file</w:t>
      </w:r>
      <w:r w:rsidR="00940C89">
        <w:t>, except with “.</w:t>
      </w:r>
      <w:proofErr w:type="spellStart"/>
      <w:r w:rsidR="00940C89">
        <w:t>xsl</w:t>
      </w:r>
      <w:proofErr w:type="spellEnd"/>
      <w:r w:rsidR="00940C89">
        <w:t>” extension</w:t>
      </w:r>
      <w:r w:rsidR="00123236">
        <w:t xml:space="preserve">. </w:t>
      </w:r>
    </w:p>
    <w:p w14:paraId="4CF05315" w14:textId="2C5681F9" w:rsidR="00F544A5" w:rsidRDefault="00E260C0" w:rsidP="00592CA5">
      <w:pPr>
        <w:pStyle w:val="Heading2"/>
      </w:pPr>
      <w:bookmarkStart w:id="5" w:name="_Toc40958547"/>
      <w:r>
        <w:t xml:space="preserve">Schematron </w:t>
      </w:r>
      <w:r w:rsidR="003466E1">
        <w:t>Rules</w:t>
      </w:r>
      <w:r w:rsidR="00756B43">
        <w:t xml:space="preserve"> </w:t>
      </w:r>
      <w:r w:rsidR="0088779B">
        <w:t>F</w:t>
      </w:r>
      <w:r w:rsidR="00756B43">
        <w:t xml:space="preserve">older </w:t>
      </w:r>
      <w:r w:rsidR="0088779B">
        <w:t>S</w:t>
      </w:r>
      <w:r w:rsidR="00756B43">
        <w:t>tructure</w:t>
      </w:r>
      <w:bookmarkEnd w:id="5"/>
    </w:p>
    <w:p w14:paraId="4CF05316" w14:textId="77777777" w:rsidR="00E260C0" w:rsidRDefault="00E260C0" w:rsidP="00E260C0">
      <w:r>
        <w:t xml:space="preserve">The </w:t>
      </w:r>
      <w:r w:rsidR="003466E1">
        <w:t>Schematron</w:t>
      </w:r>
      <w:r>
        <w:t xml:space="preserve"> rules have been broken down as </w:t>
      </w:r>
      <w:r w:rsidR="00A036B5">
        <w:t>follows:</w:t>
      </w:r>
    </w:p>
    <w:p w14:paraId="4CF05317" w14:textId="2D4A48AC" w:rsidR="00E260C0" w:rsidRDefault="005B7223" w:rsidP="005B7223">
      <w:pPr>
        <w:tabs>
          <w:tab w:val="left" w:pos="2835"/>
        </w:tabs>
        <w:rPr>
          <w:noProof/>
        </w:rPr>
      </w:pPr>
      <w:r>
        <w:rPr>
          <w:noProof/>
        </w:rPr>
        <w:tab/>
      </w:r>
      <w:r>
        <w:rPr>
          <w:noProof/>
        </w:rPr>
        <w:drawing>
          <wp:inline distT="0" distB="0" distL="0" distR="0" wp14:anchorId="15D2B299" wp14:editId="4F1A4F54">
            <wp:extent cx="1162050" cy="1457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05318" w14:textId="77777777" w:rsidR="00E260C0" w:rsidRDefault="003466E1" w:rsidP="00E260C0">
      <w:r>
        <w:t>The contents of each folder are described in the sections</w:t>
      </w:r>
      <w:r w:rsidR="00EC50CF">
        <w:t xml:space="preserve"> below</w:t>
      </w:r>
      <w:r>
        <w:t>.</w:t>
      </w:r>
    </w:p>
    <w:p w14:paraId="4CF05319" w14:textId="77777777" w:rsidR="00DB34D5" w:rsidRDefault="00DB34D5" w:rsidP="00592CA5">
      <w:pPr>
        <w:pStyle w:val="Heading3"/>
      </w:pPr>
      <w:bookmarkStart w:id="6" w:name="_Toc40958548"/>
      <w:r>
        <w:t>Built Rules Folder</w:t>
      </w:r>
      <w:bookmarkEnd w:id="6"/>
    </w:p>
    <w:p w14:paraId="4CF0531A" w14:textId="77777777" w:rsidR="00DB34D5" w:rsidRDefault="00DB34D5" w:rsidP="00DB34D5">
      <w:r>
        <w:t>The Built Rules folder contains the built rules (.</w:t>
      </w:r>
      <w:proofErr w:type="spellStart"/>
      <w:r>
        <w:t>xsl</w:t>
      </w:r>
      <w:proofErr w:type="spellEnd"/>
      <w:r>
        <w:t xml:space="preserve"> files) for each of the forms.</w:t>
      </w:r>
    </w:p>
    <w:p w14:paraId="4CF0531B" w14:textId="77777777" w:rsidR="003466E1" w:rsidRDefault="00DC08F0" w:rsidP="00592CA5">
      <w:pPr>
        <w:pStyle w:val="Heading3"/>
      </w:pPr>
      <w:bookmarkStart w:id="7" w:name="_Toc40958549"/>
      <w:r>
        <w:t>Common</w:t>
      </w:r>
      <w:bookmarkEnd w:id="7"/>
    </w:p>
    <w:p w14:paraId="4CF0531C" w14:textId="2CA8840E" w:rsidR="003466E1" w:rsidRDefault="003466E1" w:rsidP="003466E1">
      <w:r>
        <w:t xml:space="preserve">This folder contains rules that are used for </w:t>
      </w:r>
      <w:r w:rsidR="00070D10">
        <w:t xml:space="preserve">the </w:t>
      </w:r>
      <w:r w:rsidR="00354F0E">
        <w:t>SSIRR</w:t>
      </w:r>
      <w:r w:rsidR="00070D10">
        <w:t xml:space="preserve"> and </w:t>
      </w:r>
      <w:r w:rsidR="00354F0E">
        <w:t>SSRTR</w:t>
      </w:r>
      <w:r w:rsidR="00070D10">
        <w:t xml:space="preserve"> Lodge interactions only.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714"/>
      </w:tblGrid>
      <w:tr w:rsidR="003466E1" w:rsidRPr="006D6C7B" w14:paraId="4CF0531F" w14:textId="77777777">
        <w:tc>
          <w:tcPr>
            <w:tcW w:w="2808" w:type="dxa"/>
            <w:shd w:val="clear" w:color="auto" w:fill="E0E0E0"/>
          </w:tcPr>
          <w:p w14:paraId="4CF0531D" w14:textId="77777777" w:rsidR="003466E1" w:rsidRPr="006D6C7B" w:rsidRDefault="003466E1" w:rsidP="00CC5D2A">
            <w:pPr>
              <w:rPr>
                <w:b/>
              </w:rPr>
            </w:pPr>
            <w:r w:rsidRPr="006D6C7B">
              <w:rPr>
                <w:b/>
              </w:rPr>
              <w:t>File Name</w:t>
            </w:r>
          </w:p>
        </w:tc>
        <w:tc>
          <w:tcPr>
            <w:tcW w:w="5714" w:type="dxa"/>
            <w:shd w:val="clear" w:color="auto" w:fill="E0E0E0"/>
          </w:tcPr>
          <w:p w14:paraId="4CF0531E" w14:textId="77777777" w:rsidR="003466E1" w:rsidRPr="006D6C7B" w:rsidRDefault="003466E1" w:rsidP="00CC5D2A">
            <w:pPr>
              <w:rPr>
                <w:b/>
              </w:rPr>
            </w:pPr>
            <w:r w:rsidRPr="006D6C7B">
              <w:rPr>
                <w:b/>
              </w:rPr>
              <w:t>Description</w:t>
            </w:r>
          </w:p>
        </w:tc>
      </w:tr>
      <w:tr w:rsidR="00C36F52" w14:paraId="4CF05322" w14:textId="77777777">
        <w:tc>
          <w:tcPr>
            <w:tcW w:w="2808" w:type="dxa"/>
            <w:shd w:val="clear" w:color="auto" w:fill="auto"/>
          </w:tcPr>
          <w:p w14:paraId="4CF05320" w14:textId="77777777" w:rsidR="00C36F52" w:rsidRPr="00034623" w:rsidRDefault="00C36F52" w:rsidP="00D34020">
            <w:proofErr w:type="spellStart"/>
            <w:r w:rsidRPr="00034623">
              <w:t>Content.sch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14:paraId="4CF05321" w14:textId="77777777" w:rsidR="00C36F52" w:rsidRDefault="00C36F52" w:rsidP="00070D10">
            <w:r>
              <w:t>Con</w:t>
            </w:r>
            <w:r w:rsidR="00070D10">
              <w:t>tains cross field rules</w:t>
            </w:r>
            <w:r w:rsidR="00E308DB">
              <w:t>.</w:t>
            </w:r>
          </w:p>
        </w:tc>
      </w:tr>
      <w:tr w:rsidR="00C36F52" w14:paraId="4CF05325" w14:textId="77777777">
        <w:tc>
          <w:tcPr>
            <w:tcW w:w="2808" w:type="dxa"/>
            <w:shd w:val="clear" w:color="auto" w:fill="auto"/>
          </w:tcPr>
          <w:p w14:paraId="4CF05323" w14:textId="77777777" w:rsidR="00C36F52" w:rsidRPr="00034623" w:rsidRDefault="00C36F52" w:rsidP="00D34020">
            <w:proofErr w:type="spellStart"/>
            <w:r w:rsidRPr="00034623">
              <w:t>Context.sch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14:paraId="4CF05324" w14:textId="77777777" w:rsidR="00C36F52" w:rsidRDefault="00E308DB" w:rsidP="00D34020">
            <w:r>
              <w:t xml:space="preserve">Contains common rules that apply </w:t>
            </w:r>
            <w:r w:rsidR="00070D10">
              <w:t>to XBRL contexts</w:t>
            </w:r>
            <w:r>
              <w:t>.</w:t>
            </w:r>
          </w:p>
        </w:tc>
      </w:tr>
      <w:tr w:rsidR="0090279A" w14:paraId="4CF05328" w14:textId="77777777">
        <w:tc>
          <w:tcPr>
            <w:tcW w:w="2808" w:type="dxa"/>
            <w:shd w:val="clear" w:color="auto" w:fill="auto"/>
          </w:tcPr>
          <w:p w14:paraId="4CF05326" w14:textId="77777777" w:rsidR="0090279A" w:rsidRDefault="0090279A" w:rsidP="003E71F5">
            <w:proofErr w:type="spellStart"/>
            <w:r>
              <w:lastRenderedPageBreak/>
              <w:t>Mandatories</w:t>
            </w:r>
            <w:r w:rsidRPr="00034623">
              <w:t>.sch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14:paraId="4CF05327" w14:textId="77777777" w:rsidR="0090279A" w:rsidRDefault="0090279A" w:rsidP="003E71F5">
            <w:r>
              <w:t>Contains mandator</w:t>
            </w:r>
            <w:r w:rsidR="00070D10">
              <w:t>y checks</w:t>
            </w:r>
            <w:r>
              <w:t>.</w:t>
            </w:r>
          </w:p>
        </w:tc>
      </w:tr>
      <w:tr w:rsidR="0090279A" w14:paraId="4CF0532B" w14:textId="77777777">
        <w:tc>
          <w:tcPr>
            <w:tcW w:w="2808" w:type="dxa"/>
            <w:shd w:val="clear" w:color="auto" w:fill="auto"/>
          </w:tcPr>
          <w:p w14:paraId="4CF05329" w14:textId="77777777" w:rsidR="0090279A" w:rsidRDefault="0090279A" w:rsidP="003E71F5">
            <w:proofErr w:type="spellStart"/>
            <w:r w:rsidRPr="00034623">
              <w:t>Variables.sch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14:paraId="4CF0532A" w14:textId="77777777" w:rsidR="0090279A" w:rsidRDefault="0090279A" w:rsidP="003E71F5">
            <w:r>
              <w:t>Contains variables used across the rule</w:t>
            </w:r>
            <w:r w:rsidR="00070D10">
              <w:t>s.</w:t>
            </w:r>
          </w:p>
        </w:tc>
      </w:tr>
    </w:tbl>
    <w:p w14:paraId="4CF0532C" w14:textId="77777777" w:rsidR="00CC5D2A" w:rsidRDefault="00045A72" w:rsidP="00592CA5">
      <w:pPr>
        <w:pStyle w:val="Heading3"/>
      </w:pPr>
      <w:bookmarkStart w:id="8" w:name="_Toc40958550"/>
      <w:r>
        <w:t>Lodge</w:t>
      </w:r>
      <w:bookmarkEnd w:id="8"/>
    </w:p>
    <w:p w14:paraId="4CF0532D" w14:textId="4BE4CDE4" w:rsidR="00CC5D2A" w:rsidRDefault="00CC5D2A" w:rsidP="00F32924">
      <w:r>
        <w:t xml:space="preserve">This folder contains the </w:t>
      </w:r>
      <w:r w:rsidR="00E47FDF">
        <w:t xml:space="preserve">primary rules files that are used for </w:t>
      </w:r>
      <w:r w:rsidR="00F32924">
        <w:t>the</w:t>
      </w:r>
      <w:r w:rsidR="00317DF1">
        <w:t xml:space="preserve"> </w:t>
      </w:r>
      <w:r w:rsidR="00354F0E">
        <w:t>SSIRR</w:t>
      </w:r>
      <w:r w:rsidR="00045A72">
        <w:t xml:space="preserve"> and </w:t>
      </w:r>
      <w:r w:rsidR="00354F0E">
        <w:t>SSRTR</w:t>
      </w:r>
      <w:r w:rsidR="00A93985">
        <w:t xml:space="preserve"> L</w:t>
      </w:r>
      <w:r w:rsidR="0090279A">
        <w:t>odge</w:t>
      </w:r>
      <w:r w:rsidR="00F32924">
        <w:t xml:space="preserve"> interaction</w:t>
      </w:r>
      <w:r w:rsidR="00070D10">
        <w:t>s</w:t>
      </w:r>
      <w:r>
        <w:t>.</w:t>
      </w:r>
      <w:r w:rsidR="00E47FDF">
        <w:t xml:space="preserve">  The</w:t>
      </w:r>
      <w:r w:rsidR="00F32924">
        <w:t>se</w:t>
      </w:r>
      <w:r w:rsidR="00E47FDF">
        <w:t xml:space="preserve"> files contain the </w:t>
      </w:r>
      <w:r w:rsidR="005B7A0E">
        <w:t xml:space="preserve">necessary </w:t>
      </w:r>
      <w:r w:rsidR="000B7645">
        <w:t>references to</w:t>
      </w:r>
      <w:r w:rsidR="00F32924">
        <w:t xml:space="preserve"> the </w:t>
      </w:r>
      <w:r w:rsidR="000B7645">
        <w:t xml:space="preserve">SBR taxonomy namespaces and </w:t>
      </w:r>
      <w:r w:rsidR="005B7A0E">
        <w:t xml:space="preserve">supporting Schematron files </w:t>
      </w:r>
      <w:r w:rsidR="00F32924">
        <w:t xml:space="preserve">listed above based on the </w:t>
      </w:r>
      <w:proofErr w:type="gramStart"/>
      <w:r w:rsidR="00F32924">
        <w:t>particular interaction</w:t>
      </w:r>
      <w:proofErr w:type="gramEnd"/>
      <w:r w:rsidR="00F32924">
        <w:t xml:space="preserve">. </w:t>
      </w:r>
    </w:p>
    <w:p w14:paraId="4CF0532E" w14:textId="33FACDC9" w:rsidR="00345307" w:rsidRDefault="00345307" w:rsidP="00345307">
      <w:pPr>
        <w:pStyle w:val="Heading1"/>
      </w:pPr>
      <w:r>
        <w:br w:type="page"/>
      </w:r>
      <w:bookmarkStart w:id="9" w:name="_Toc40958551"/>
      <w:r>
        <w:lastRenderedPageBreak/>
        <w:t>Further Information</w:t>
      </w:r>
      <w:r w:rsidR="00901A5D">
        <w:t xml:space="preserve"> on the ATO </w:t>
      </w:r>
      <w:r w:rsidR="007052E4">
        <w:t xml:space="preserve">provided </w:t>
      </w:r>
      <w:r w:rsidR="00901A5D">
        <w:t>Schematron</w:t>
      </w:r>
      <w:bookmarkEnd w:id="9"/>
    </w:p>
    <w:p w14:paraId="4CF05330" w14:textId="70D745B9" w:rsidR="00345307" w:rsidRDefault="00345307" w:rsidP="00345307">
      <w:r>
        <w:t xml:space="preserve">This section </w:t>
      </w:r>
      <w:r w:rsidR="00901A5D">
        <w:t xml:space="preserve">briefly describes important differences between ATO provided Schematron files and what may be used for SuperStream gateways and consumers. </w:t>
      </w:r>
    </w:p>
    <w:p w14:paraId="4CF05331" w14:textId="0D9ABA3A" w:rsidR="00345307" w:rsidRPr="00FD76C3" w:rsidRDefault="00345307" w:rsidP="00592CA5">
      <w:pPr>
        <w:pStyle w:val="Heading2"/>
      </w:pPr>
      <w:bookmarkStart w:id="10" w:name="_Toc40958552"/>
      <w:r w:rsidRPr="00FD76C3">
        <w:t>Functionality not included in the</w:t>
      </w:r>
      <w:r>
        <w:t xml:space="preserve"> Schematron files</w:t>
      </w:r>
      <w:bookmarkEnd w:id="10"/>
    </w:p>
    <w:p w14:paraId="737B40F9" w14:textId="5A787DED" w:rsidR="005D0D21" w:rsidRDefault="00E04D94" w:rsidP="00FE143F">
      <w:r>
        <w:t xml:space="preserve">The Schematron has been built to align to the minimum requirements of the </w:t>
      </w:r>
      <w:r w:rsidR="007D6E7A">
        <w:t>SuperStream Data and Payment Standards - Rollover Message Implementation Guide</w:t>
      </w:r>
      <w:r>
        <w:t xml:space="preserve"> v3.0</w:t>
      </w:r>
      <w:r w:rsidR="007D6E7A">
        <w:t xml:space="preserve">-0.84 </w:t>
      </w:r>
      <w:r>
        <w:t xml:space="preserve">and </w:t>
      </w:r>
      <w:r w:rsidR="007D6E7A">
        <w:t xml:space="preserve">Error Code Management v2.1-0.3. Any custom validation rules will not be supported by the ATO Schematron files; it is the responsibility of the consumer to maintain and update custom rules. </w:t>
      </w:r>
    </w:p>
    <w:p w14:paraId="4CF05334" w14:textId="77777777" w:rsidR="00345307" w:rsidRDefault="00345307" w:rsidP="00592CA5">
      <w:pPr>
        <w:pStyle w:val="Heading2"/>
      </w:pPr>
      <w:bookmarkStart w:id="11" w:name="_Toc40958553"/>
      <w:r>
        <w:t>Additional functionality in the Schematron files</w:t>
      </w:r>
      <w:bookmarkEnd w:id="11"/>
    </w:p>
    <w:p w14:paraId="4CF05335" w14:textId="4F04D7CA" w:rsidR="00345307" w:rsidRDefault="00345307" w:rsidP="00345307">
      <w:r>
        <w:t xml:space="preserve">Additional functionality has been included in the Schematron files to include the rule identifier (VR number) associated with any error that is produced.  This effectively allows </w:t>
      </w:r>
      <w:r w:rsidR="00901A5D">
        <w:t>consumers</w:t>
      </w:r>
      <w:r>
        <w:t xml:space="preserve"> to easily find what rules are firing for difference scenarios.</w:t>
      </w:r>
    </w:p>
    <w:p w14:paraId="4CF05336" w14:textId="77777777" w:rsidR="00345307" w:rsidRDefault="00345307" w:rsidP="00345307"/>
    <w:p w14:paraId="4CF05337" w14:textId="77777777" w:rsidR="00345307" w:rsidRDefault="00345307" w:rsidP="00345307">
      <w:bookmarkStart w:id="12" w:name="_Phases"/>
      <w:bookmarkEnd w:id="12"/>
    </w:p>
    <w:p w14:paraId="4CF05338" w14:textId="77777777" w:rsidR="008A3075" w:rsidRDefault="00356CAF" w:rsidP="00737BD7">
      <w:pPr>
        <w:pStyle w:val="Heading1"/>
      </w:pPr>
      <w:r>
        <w:br w:type="page"/>
      </w:r>
      <w:bookmarkStart w:id="13" w:name="_Toc40958554"/>
      <w:r w:rsidR="00737BD7">
        <w:lastRenderedPageBreak/>
        <w:t>How ATO provided Schematron rules can be utilised</w:t>
      </w:r>
      <w:bookmarkEnd w:id="13"/>
    </w:p>
    <w:p w14:paraId="4CF05339" w14:textId="07D73E0C" w:rsidR="00737BD7" w:rsidRDefault="00737BD7" w:rsidP="00737BD7">
      <w:r>
        <w:t>The ATO makes no assumptions on how the p</w:t>
      </w:r>
      <w:r w:rsidR="00850651">
        <w:t>rovided Schematron downloads could be</w:t>
      </w:r>
      <w:r>
        <w:t xml:space="preserve"> used by </w:t>
      </w:r>
      <w:r w:rsidR="00B22CFE">
        <w:t>consumers</w:t>
      </w:r>
      <w:r>
        <w:t>.</w:t>
      </w:r>
      <w:r w:rsidR="00850651">
        <w:t xml:space="preserve">  </w:t>
      </w:r>
      <w:r>
        <w:t xml:space="preserve">Essentially the files are provided to </w:t>
      </w:r>
      <w:r w:rsidR="005446FF">
        <w:t>developers</w:t>
      </w:r>
      <w:r>
        <w:t xml:space="preserve"> to use as they see fit.  </w:t>
      </w:r>
      <w:r w:rsidR="00E83B50">
        <w:t xml:space="preserve">The following recommendations </w:t>
      </w:r>
      <w:proofErr w:type="gramStart"/>
      <w:r w:rsidR="00E83B50">
        <w:t>provide assistance to</w:t>
      </w:r>
      <w:proofErr w:type="gramEnd"/>
      <w:r w:rsidR="00E83B50">
        <w:t xml:space="preserve"> developers in gaining an understanding of how the Schematron files could be used.</w:t>
      </w:r>
    </w:p>
    <w:p w14:paraId="4CF0533A" w14:textId="77777777" w:rsidR="003565FD" w:rsidRDefault="003565FD" w:rsidP="003565FD">
      <w:pPr>
        <w:pStyle w:val="Heading2"/>
      </w:pPr>
      <w:bookmarkStart w:id="14" w:name="_Toc40958555"/>
      <w:r>
        <w:t>Unit Testing</w:t>
      </w:r>
      <w:bookmarkEnd w:id="14"/>
    </w:p>
    <w:p w14:paraId="4CF0533B" w14:textId="77777777" w:rsidR="003565FD" w:rsidRDefault="003565FD" w:rsidP="00737BD7">
      <w:r>
        <w:t xml:space="preserve">The Schematron rules can be used for unit testing of software products.  This allows developers to check their products during the development cycle and resolve issues early in the process.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E83B50" w:rsidRPr="006D6C7B" w14:paraId="4CF0533E" w14:textId="77777777">
        <w:tc>
          <w:tcPr>
            <w:tcW w:w="4261" w:type="dxa"/>
            <w:shd w:val="clear" w:color="auto" w:fill="E0E0E0"/>
          </w:tcPr>
          <w:p w14:paraId="4CF0533C" w14:textId="77777777" w:rsidR="00E83B50" w:rsidRPr="006D6C7B" w:rsidRDefault="00E83B50" w:rsidP="00737BD7">
            <w:pPr>
              <w:rPr>
                <w:b/>
              </w:rPr>
            </w:pPr>
            <w:r w:rsidRPr="006D6C7B">
              <w:rPr>
                <w:b/>
              </w:rPr>
              <w:t>Relevant Artefacts</w:t>
            </w:r>
          </w:p>
        </w:tc>
        <w:tc>
          <w:tcPr>
            <w:tcW w:w="4261" w:type="dxa"/>
            <w:shd w:val="clear" w:color="auto" w:fill="E0E0E0"/>
          </w:tcPr>
          <w:p w14:paraId="4CF0533D" w14:textId="77777777" w:rsidR="00E83B50" w:rsidRPr="006D6C7B" w:rsidRDefault="00E83B50" w:rsidP="00737BD7">
            <w:pPr>
              <w:rPr>
                <w:b/>
              </w:rPr>
            </w:pPr>
            <w:r w:rsidRPr="006D6C7B">
              <w:rPr>
                <w:b/>
              </w:rPr>
              <w:t>Usage</w:t>
            </w:r>
          </w:p>
        </w:tc>
      </w:tr>
      <w:tr w:rsidR="00E83B50" w14:paraId="4CF05341" w14:textId="77777777">
        <w:tc>
          <w:tcPr>
            <w:tcW w:w="4261" w:type="dxa"/>
            <w:shd w:val="clear" w:color="auto" w:fill="auto"/>
          </w:tcPr>
          <w:p w14:paraId="4CF0533F" w14:textId="77777777" w:rsidR="00E83B50" w:rsidRDefault="0079229E" w:rsidP="00696289">
            <w:r>
              <w:t xml:space="preserve">Built </w:t>
            </w:r>
            <w:r w:rsidR="00696289">
              <w:t>XSL</w:t>
            </w:r>
            <w:r>
              <w:t xml:space="preserve"> files for each operation.  </w:t>
            </w:r>
          </w:p>
        </w:tc>
        <w:tc>
          <w:tcPr>
            <w:tcW w:w="4261" w:type="dxa"/>
            <w:shd w:val="clear" w:color="auto" w:fill="auto"/>
          </w:tcPr>
          <w:p w14:paraId="4CF05340" w14:textId="677407C8" w:rsidR="009B0F54" w:rsidRDefault="005446FF" w:rsidP="00737BD7">
            <w:r>
              <w:t xml:space="preserve">Use to validate the </w:t>
            </w:r>
            <w:proofErr w:type="spellStart"/>
            <w:r>
              <w:t>xbrl</w:t>
            </w:r>
            <w:proofErr w:type="spellEnd"/>
            <w:r>
              <w:t xml:space="preserve"> instance.</w:t>
            </w:r>
          </w:p>
        </w:tc>
      </w:tr>
    </w:tbl>
    <w:p w14:paraId="4CF05352" w14:textId="77777777" w:rsidR="002B096C" w:rsidRPr="00C759FD" w:rsidRDefault="002B096C" w:rsidP="002B096C">
      <w:pPr>
        <w:pStyle w:val="Heading2"/>
      </w:pPr>
      <w:bookmarkStart w:id="15" w:name="_Toc40958556"/>
      <w:r w:rsidRPr="00C759FD">
        <w:t>Rebuilding Schematron rules</w:t>
      </w:r>
      <w:bookmarkEnd w:id="15"/>
    </w:p>
    <w:p w14:paraId="4CF05353" w14:textId="6A632C45" w:rsidR="002B096C" w:rsidRPr="00C759FD" w:rsidRDefault="002B096C" w:rsidP="00737BD7">
      <w:r w:rsidRPr="00C759FD">
        <w:t xml:space="preserve">One change that has been made to the Schematron is that a different formatter is used.  Internally the ATO uses its own format for </w:t>
      </w:r>
      <w:r w:rsidR="00652A13" w:rsidRPr="00C759FD">
        <w:t>business event</w:t>
      </w:r>
      <w:r w:rsidRPr="00C759FD">
        <w:t xml:space="preserve"> messages – thus the ATO uses a different Schematron formatter file.</w:t>
      </w:r>
      <w:r w:rsidR="009B0F54" w:rsidRPr="00C759FD">
        <w:t xml:space="preserve">  </w:t>
      </w:r>
      <w:r w:rsidR="007052E4">
        <w:t>Consumers</w:t>
      </w:r>
      <w:r w:rsidR="009B0F54" w:rsidRPr="00C759FD">
        <w:t xml:space="preserve"> could choose to do something similar if required.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9B0F54" w:rsidRPr="00C759FD" w14:paraId="4CF05356" w14:textId="77777777">
        <w:tc>
          <w:tcPr>
            <w:tcW w:w="4261" w:type="dxa"/>
            <w:shd w:val="clear" w:color="auto" w:fill="E0E0E0"/>
          </w:tcPr>
          <w:p w14:paraId="4CF05354" w14:textId="77777777" w:rsidR="009B0F54" w:rsidRPr="00C759FD" w:rsidRDefault="009B0F54" w:rsidP="00615E3D">
            <w:pPr>
              <w:rPr>
                <w:b/>
              </w:rPr>
            </w:pPr>
            <w:r w:rsidRPr="00C759FD">
              <w:rPr>
                <w:b/>
              </w:rPr>
              <w:t>Relevant Artefacts</w:t>
            </w:r>
          </w:p>
        </w:tc>
        <w:tc>
          <w:tcPr>
            <w:tcW w:w="4261" w:type="dxa"/>
            <w:shd w:val="clear" w:color="auto" w:fill="E0E0E0"/>
          </w:tcPr>
          <w:p w14:paraId="4CF05355" w14:textId="77777777" w:rsidR="009B0F54" w:rsidRPr="00C759FD" w:rsidRDefault="009B0F54" w:rsidP="00615E3D">
            <w:pPr>
              <w:rPr>
                <w:b/>
              </w:rPr>
            </w:pPr>
            <w:r w:rsidRPr="00C759FD">
              <w:rPr>
                <w:b/>
              </w:rPr>
              <w:t>Usage</w:t>
            </w:r>
          </w:p>
        </w:tc>
      </w:tr>
      <w:tr w:rsidR="009B0F54" w:rsidRPr="00C759FD" w14:paraId="4CF05359" w14:textId="77777777">
        <w:tc>
          <w:tcPr>
            <w:tcW w:w="4261" w:type="dxa"/>
            <w:shd w:val="clear" w:color="auto" w:fill="auto"/>
          </w:tcPr>
          <w:p w14:paraId="4CF05357" w14:textId="77777777" w:rsidR="009B0F54" w:rsidRPr="00C759FD" w:rsidRDefault="00C9092E" w:rsidP="00615E3D">
            <w:r w:rsidRPr="00C759FD">
              <w:t>EBMS_RulesInSBR2Format.xsl</w:t>
            </w:r>
          </w:p>
        </w:tc>
        <w:tc>
          <w:tcPr>
            <w:tcW w:w="4261" w:type="dxa"/>
            <w:shd w:val="clear" w:color="auto" w:fill="auto"/>
          </w:tcPr>
          <w:p w14:paraId="4CF05358" w14:textId="79A638AA" w:rsidR="009B0F54" w:rsidRPr="00C759FD" w:rsidRDefault="00901A5D" w:rsidP="00615E3D">
            <w:r>
              <w:t>Consumers</w:t>
            </w:r>
            <w:r w:rsidR="009B0F54" w:rsidRPr="00C759FD">
              <w:t xml:space="preserve"> could choose to modify or replace the </w:t>
            </w:r>
            <w:r w:rsidR="00C9092E" w:rsidRPr="00C759FD">
              <w:t xml:space="preserve">EBMS_RulesInSBR2Format.xsl </w:t>
            </w:r>
            <w:r w:rsidR="009B0F54" w:rsidRPr="00C759FD">
              <w:t>to produce different output.</w:t>
            </w:r>
          </w:p>
        </w:tc>
      </w:tr>
      <w:tr w:rsidR="009B0F54" w:rsidRPr="00C759FD" w14:paraId="4CF0535C" w14:textId="77777777">
        <w:tc>
          <w:tcPr>
            <w:tcW w:w="4261" w:type="dxa"/>
            <w:shd w:val="clear" w:color="auto" w:fill="auto"/>
          </w:tcPr>
          <w:p w14:paraId="4CF0535A" w14:textId="77777777" w:rsidR="009B0F54" w:rsidRPr="00C759FD" w:rsidRDefault="009B0F54" w:rsidP="00615E3D">
            <w:r w:rsidRPr="00C759FD">
              <w:t>SCH Rule Files</w:t>
            </w:r>
          </w:p>
        </w:tc>
        <w:tc>
          <w:tcPr>
            <w:tcW w:w="4261" w:type="dxa"/>
            <w:shd w:val="clear" w:color="auto" w:fill="auto"/>
          </w:tcPr>
          <w:p w14:paraId="4CF0535B" w14:textId="77777777" w:rsidR="009B0F54" w:rsidRPr="00C759FD" w:rsidRDefault="009B0F54" w:rsidP="00615E3D">
            <w:r w:rsidRPr="00C759FD">
              <w:t>These files would need to be rebuilt where required.</w:t>
            </w:r>
          </w:p>
        </w:tc>
      </w:tr>
    </w:tbl>
    <w:p w14:paraId="4CF0535D" w14:textId="77777777" w:rsidR="00737BD7" w:rsidRDefault="003565FD" w:rsidP="003565FD">
      <w:pPr>
        <w:pStyle w:val="Heading2"/>
      </w:pPr>
      <w:bookmarkStart w:id="16" w:name="_Toc40958557"/>
      <w:r>
        <w:t>Run time usage</w:t>
      </w:r>
      <w:bookmarkEnd w:id="16"/>
    </w:p>
    <w:p w14:paraId="4CF0535E" w14:textId="78D8DDA5" w:rsidR="003565FD" w:rsidRPr="00737BD7" w:rsidRDefault="001610E8" w:rsidP="00737BD7">
      <w:r>
        <w:t xml:space="preserve">Potentially the Schematron files could be used by </w:t>
      </w:r>
      <w:r w:rsidR="007052E4">
        <w:t>consumers</w:t>
      </w:r>
      <w:r>
        <w:t xml:space="preserve"> to validate m</w:t>
      </w:r>
      <w:r w:rsidR="00FE143F">
        <w:t xml:space="preserve">essages before they are sent externally </w:t>
      </w:r>
      <w:r>
        <w:t xml:space="preserve">at run time.  </w:t>
      </w:r>
      <w:r w:rsidR="00696289">
        <w:t xml:space="preserve">This could be used to avoid </w:t>
      </w:r>
      <w:r w:rsidR="00652A13">
        <w:t>round trip delays when errors are detected.</w:t>
      </w:r>
    </w:p>
    <w:p w14:paraId="4CF0535F" w14:textId="77777777" w:rsidR="00737BD7" w:rsidRDefault="00737BD7" w:rsidP="001174E7"/>
    <w:p w14:paraId="4CF05360" w14:textId="77777777" w:rsidR="002B096C" w:rsidRDefault="002B096C" w:rsidP="001174E7"/>
    <w:p w14:paraId="4CF05361" w14:textId="77777777" w:rsidR="002B096C" w:rsidRDefault="002B096C" w:rsidP="001174E7"/>
    <w:p w14:paraId="4CF05362" w14:textId="77777777" w:rsidR="000D450E" w:rsidRDefault="000D450E" w:rsidP="000D450E">
      <w:r>
        <w:t xml:space="preserve"> </w:t>
      </w:r>
    </w:p>
    <w:p w14:paraId="4CF05363" w14:textId="77777777" w:rsidR="00070D10" w:rsidRDefault="00070D10">
      <w:pPr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14:paraId="4CF05364" w14:textId="77777777" w:rsidR="00345307" w:rsidRDefault="00345307" w:rsidP="00345307">
      <w:pPr>
        <w:pStyle w:val="Heading1"/>
      </w:pPr>
      <w:bookmarkStart w:id="17" w:name="_Toc40958558"/>
      <w:r>
        <w:lastRenderedPageBreak/>
        <w:t>Schematron Overview</w:t>
      </w:r>
      <w:bookmarkEnd w:id="17"/>
    </w:p>
    <w:p w14:paraId="4CF05365" w14:textId="77777777" w:rsidR="00345307" w:rsidRDefault="00345307" w:rsidP="00345307">
      <w:r w:rsidRPr="00345307">
        <w:t xml:space="preserve">It is not the intent of this document to describe Schematron and how it works.  Please reference the </w:t>
      </w:r>
      <w:hyperlink r:id="rId13" w:history="1">
        <w:r w:rsidRPr="00417BF0">
          <w:rPr>
            <w:rStyle w:val="Hyperlink"/>
            <w:rFonts w:ascii="Courier New" w:hAnsi="Courier New" w:cs="Courier New"/>
            <w:sz w:val="20"/>
            <w:szCs w:val="20"/>
          </w:rPr>
          <w:t>www.schematron.com</w:t>
        </w:r>
      </w:hyperlink>
      <w:r>
        <w:t xml:space="preserve"> web site for more information on Schematron itself.  </w:t>
      </w:r>
    </w:p>
    <w:p w14:paraId="4CF05366" w14:textId="32BC07F1" w:rsidR="00345307" w:rsidRDefault="00345307" w:rsidP="00345307">
      <w:r>
        <w:t xml:space="preserve">This section has been copied from internal documentation for ATO Service Validation and is provided for those </w:t>
      </w:r>
      <w:r w:rsidR="007052E4">
        <w:t>consumers</w:t>
      </w:r>
      <w:r>
        <w:t xml:space="preserve"> who are unfamiliar with Schematron. </w:t>
      </w:r>
    </w:p>
    <w:p w14:paraId="4CF05367" w14:textId="77777777" w:rsidR="00345307" w:rsidRDefault="00345307" w:rsidP="00345307">
      <w:pPr>
        <w:pStyle w:val="Heading2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 w:val="24"/>
          <w:szCs w:val="24"/>
        </w:rPr>
        <w:fldChar w:fldCharType="begin" w:fldLock="1"/>
      </w:r>
      <w:r>
        <w:rPr>
          <w:rFonts w:cs="Times New Roman"/>
          <w:b w:val="0"/>
          <w:bCs w:val="0"/>
          <w:sz w:val="24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 w:val="24"/>
          <w:szCs w:val="24"/>
        </w:rPr>
        <w:fldChar w:fldCharType="separate"/>
      </w:r>
      <w:bookmarkStart w:id="18" w:name="_Toc40958559"/>
      <w:bookmarkStart w:id="19" w:name="_Toc249258332"/>
      <w:r>
        <w:rPr>
          <w:rFonts w:cs="Times New Roman"/>
          <w:bCs w:val="0"/>
          <w:szCs w:val="24"/>
          <w:lang w:val="en-US"/>
        </w:rPr>
        <w:t>Conceptual Model</w:t>
      </w:r>
      <w:bookmarkEnd w:id="18"/>
      <w:bookmarkEnd w:id="19"/>
      <w:r>
        <w:rPr>
          <w:rFonts w:cs="Times New Roman"/>
          <w:b w:val="0"/>
          <w:bCs w:val="0"/>
          <w:sz w:val="24"/>
          <w:szCs w:val="24"/>
        </w:rPr>
        <w:fldChar w:fldCharType="end"/>
      </w:r>
    </w:p>
    <w:p w14:paraId="4CF05368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>
        <w:t xml:space="preserve">This section describes how a rules engine can operate at a conceptual level.  The concepts described here lend themselves to different implementations including XBRL formulas and </w:t>
      </w:r>
      <w:r w:rsidRPr="00345307">
        <w:t>Schematron</w:t>
      </w:r>
      <w:r>
        <w:t>.</w:t>
      </w:r>
    </w:p>
    <w:bookmarkStart w:id="20" w:name="BKM_9FF2329F_96F2_4b29_A260_158C279FA692"/>
    <w:bookmarkEnd w:id="20"/>
    <w:p w14:paraId="4CF05369" w14:textId="77777777" w:rsidR="00345307" w:rsidRDefault="00345307" w:rsidP="00345307">
      <w:pPr>
        <w:pStyle w:val="Heading3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Cs w:val="24"/>
        </w:rPr>
        <w:fldChar w:fldCharType="begin" w:fldLock="1"/>
      </w:r>
      <w:r>
        <w:rPr>
          <w:rFonts w:cs="Times New Roman"/>
          <w:b w:val="0"/>
          <w:bCs w:val="0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Cs w:val="24"/>
        </w:rPr>
        <w:fldChar w:fldCharType="separate"/>
      </w:r>
      <w:bookmarkStart w:id="21" w:name="_Toc40958560"/>
      <w:bookmarkStart w:id="22" w:name="_Toc249258333"/>
      <w:r>
        <w:rPr>
          <w:rFonts w:cs="Times New Roman"/>
          <w:bCs w:val="0"/>
          <w:szCs w:val="24"/>
          <w:lang w:val="en-US"/>
        </w:rPr>
        <w:t>Building Rules</w:t>
      </w:r>
      <w:bookmarkEnd w:id="21"/>
      <w:bookmarkEnd w:id="22"/>
      <w:r>
        <w:rPr>
          <w:rFonts w:cs="Times New Roman"/>
          <w:b w:val="0"/>
          <w:bCs w:val="0"/>
          <w:szCs w:val="24"/>
        </w:rPr>
        <w:fldChar w:fldCharType="end"/>
      </w:r>
    </w:p>
    <w:p w14:paraId="4CF0536A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>
        <w:t>The first step in the process is building the rules.  With a technology such as XBRL Formulas this would be done directly in the taxonomy, for other technologies the intent would be to generate the rules from the taxonomy or other meta-data where rules are not defined within the taxonomy.</w:t>
      </w:r>
    </w:p>
    <w:p w14:paraId="4CF0536B" w14:textId="77777777" w:rsidR="00345307" w:rsidRDefault="00EB16E5" w:rsidP="00345307">
      <w:pPr>
        <w:jc w:val="center"/>
      </w:pPr>
      <w:bookmarkStart w:id="23" w:name="BKM_5983ADD0_1C11_4413_8D36_594FBBE087FD"/>
      <w:bookmarkEnd w:id="23"/>
      <w:r>
        <w:rPr>
          <w:noProof/>
        </w:rPr>
        <w:drawing>
          <wp:inline distT="0" distB="0" distL="0" distR="0" wp14:anchorId="4CF0538B" wp14:editId="4CF0538C">
            <wp:extent cx="5895975" cy="3524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536C" w14:textId="77777777" w:rsidR="00345307" w:rsidRDefault="00345307" w:rsidP="00345307">
      <w:pPr>
        <w:jc w:val="center"/>
      </w:pPr>
      <w:r>
        <w:t xml:space="preserve">Figure: </w:t>
      </w:r>
      <w:r>
        <w:fldChar w:fldCharType="begin" w:fldLock="1"/>
      </w:r>
      <w:r>
        <w:instrText>MERGEFIELD Diagram.Name</w:instrText>
      </w:r>
      <w:r>
        <w:fldChar w:fldCharType="separate"/>
      </w:r>
      <w:r>
        <w:t>Building the Rules</w:t>
      </w:r>
      <w:r>
        <w:fldChar w:fldCharType="end"/>
      </w:r>
    </w:p>
    <w:p w14:paraId="4CF0536D" w14:textId="77777777" w:rsidR="00345307" w:rsidRDefault="00345307" w:rsidP="00345307"/>
    <w:p w14:paraId="4CF0536E" w14:textId="77777777" w:rsidR="00345307" w:rsidRDefault="00345307" w:rsidP="00345307">
      <w:r>
        <w:fldChar w:fldCharType="begin" w:fldLock="1"/>
      </w:r>
      <w:r>
        <w:instrText>MERGEFIELD Diagram.Notes</w:instrText>
      </w:r>
      <w:r>
        <w:fldChar w:fldCharType="end"/>
      </w:r>
      <w:r>
        <w:t xml:space="preserve">   </w:t>
      </w:r>
    </w:p>
    <w:p w14:paraId="4CF0536F" w14:textId="77777777" w:rsidR="00345307" w:rsidRDefault="00345307" w:rsidP="00345307">
      <w:bookmarkStart w:id="24" w:name="BKM_197CBA75_A39A_4b70_8F50_E1818D88821C"/>
      <w:bookmarkEnd w:id="24"/>
    </w:p>
    <w:p w14:paraId="4CF05370" w14:textId="77777777" w:rsidR="00A7687A" w:rsidRDefault="00A7687A" w:rsidP="00345307"/>
    <w:p w14:paraId="4CF05371" w14:textId="77777777" w:rsidR="00345307" w:rsidRDefault="00345307" w:rsidP="00345307">
      <w:pPr>
        <w:pStyle w:val="Heading3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Cs w:val="24"/>
        </w:rPr>
        <w:lastRenderedPageBreak/>
        <w:fldChar w:fldCharType="begin" w:fldLock="1"/>
      </w:r>
      <w:r>
        <w:rPr>
          <w:rFonts w:cs="Times New Roman"/>
          <w:b w:val="0"/>
          <w:bCs w:val="0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Cs w:val="24"/>
        </w:rPr>
        <w:fldChar w:fldCharType="separate"/>
      </w:r>
      <w:bookmarkStart w:id="25" w:name="_Toc40958561"/>
      <w:bookmarkStart w:id="26" w:name="_Toc249258334"/>
      <w:r>
        <w:rPr>
          <w:rFonts w:cs="Times New Roman"/>
          <w:bCs w:val="0"/>
          <w:szCs w:val="24"/>
          <w:lang w:val="en-US"/>
        </w:rPr>
        <w:t>Validating Messages</w:t>
      </w:r>
      <w:bookmarkEnd w:id="25"/>
      <w:bookmarkEnd w:id="26"/>
      <w:r>
        <w:rPr>
          <w:rFonts w:cs="Times New Roman"/>
          <w:b w:val="0"/>
          <w:bCs w:val="0"/>
          <w:szCs w:val="24"/>
        </w:rPr>
        <w:fldChar w:fldCharType="end"/>
      </w:r>
    </w:p>
    <w:p w14:paraId="4CF05372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>
        <w:t>Having buil</w:t>
      </w:r>
      <w:r w:rsidR="00C6414C">
        <w:t>t</w:t>
      </w:r>
      <w:r>
        <w:t xml:space="preserve"> the rules into an XBRL Instance Validator - XBRL messages can now be validated. </w:t>
      </w:r>
    </w:p>
    <w:p w14:paraId="4CF05373" w14:textId="77777777" w:rsidR="00345307" w:rsidRDefault="00345307" w:rsidP="00345307">
      <w:r>
        <w:t>Messages are passed into the Instance Validator and results are output based upon those validations.</w:t>
      </w:r>
    </w:p>
    <w:p w14:paraId="4CF05374" w14:textId="77777777" w:rsidR="00345307" w:rsidRDefault="00EB16E5" w:rsidP="00345307">
      <w:pPr>
        <w:jc w:val="center"/>
      </w:pPr>
      <w:bookmarkStart w:id="27" w:name="BKM_23966AF5_D56B_42aa_8E84_C6D67FF275FC"/>
      <w:bookmarkEnd w:id="27"/>
      <w:r>
        <w:rPr>
          <w:noProof/>
        </w:rPr>
        <w:drawing>
          <wp:inline distT="0" distB="0" distL="0" distR="0" wp14:anchorId="4CF0538D" wp14:editId="4CF0538E">
            <wp:extent cx="5905500" cy="3857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5375" w14:textId="77777777" w:rsidR="00345307" w:rsidRDefault="00345307" w:rsidP="00345307">
      <w:pPr>
        <w:jc w:val="center"/>
      </w:pPr>
      <w:r>
        <w:t xml:space="preserve">Figure: </w:t>
      </w:r>
      <w:r>
        <w:fldChar w:fldCharType="begin" w:fldLock="1"/>
      </w:r>
      <w:r>
        <w:instrText>MERGEFIELD Diagram.Name</w:instrText>
      </w:r>
      <w:r>
        <w:fldChar w:fldCharType="separate"/>
      </w:r>
      <w:r>
        <w:t>Validating Messages</w:t>
      </w:r>
      <w:r>
        <w:fldChar w:fldCharType="end"/>
      </w:r>
    </w:p>
    <w:p w14:paraId="4CF05376" w14:textId="77777777" w:rsidR="00345307" w:rsidRDefault="00345307" w:rsidP="00345307"/>
    <w:bookmarkStart w:id="28" w:name="Implementation_Model"/>
    <w:bookmarkStart w:id="29" w:name="BKM_DC430D65_75A6_4b1a_84B4_A0F37AF5F93D"/>
    <w:bookmarkEnd w:id="28"/>
    <w:bookmarkEnd w:id="29"/>
    <w:p w14:paraId="4CF05377" w14:textId="77777777" w:rsidR="00345307" w:rsidRDefault="00345307" w:rsidP="00345307">
      <w:pPr>
        <w:pStyle w:val="Heading2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 w:val="24"/>
          <w:szCs w:val="24"/>
        </w:rPr>
        <w:fldChar w:fldCharType="begin" w:fldLock="1"/>
      </w:r>
      <w:r>
        <w:rPr>
          <w:rFonts w:cs="Times New Roman"/>
          <w:b w:val="0"/>
          <w:bCs w:val="0"/>
          <w:sz w:val="24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 w:val="24"/>
          <w:szCs w:val="24"/>
        </w:rPr>
        <w:fldChar w:fldCharType="separate"/>
      </w:r>
      <w:bookmarkStart w:id="30" w:name="_Toc40958562"/>
      <w:bookmarkStart w:id="31" w:name="_Toc249258335"/>
      <w:r>
        <w:rPr>
          <w:rFonts w:cs="Times New Roman"/>
          <w:bCs w:val="0"/>
          <w:szCs w:val="24"/>
          <w:lang w:val="en-US"/>
        </w:rPr>
        <w:t>Implementation Model</w:t>
      </w:r>
      <w:bookmarkEnd w:id="30"/>
      <w:bookmarkEnd w:id="31"/>
      <w:r>
        <w:rPr>
          <w:rFonts w:cs="Times New Roman"/>
          <w:b w:val="0"/>
          <w:bCs w:val="0"/>
          <w:sz w:val="24"/>
          <w:szCs w:val="24"/>
        </w:rPr>
        <w:fldChar w:fldCharType="end"/>
      </w:r>
    </w:p>
    <w:p w14:paraId="4CF05378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>
        <w:t xml:space="preserve">This section describes the Schematron implementation of the conceptual model.   </w:t>
      </w:r>
    </w:p>
    <w:bookmarkStart w:id="32" w:name="Building_Rules"/>
    <w:bookmarkStart w:id="33" w:name="BKM_BDC8FF2D_E8CA_4701_AA3C_C59904B38EAA"/>
    <w:bookmarkEnd w:id="32"/>
    <w:bookmarkEnd w:id="33"/>
    <w:p w14:paraId="4CF05379" w14:textId="77777777" w:rsidR="00345307" w:rsidRDefault="00345307" w:rsidP="00345307">
      <w:pPr>
        <w:pStyle w:val="Heading3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Cs w:val="24"/>
        </w:rPr>
        <w:fldChar w:fldCharType="begin" w:fldLock="1"/>
      </w:r>
      <w:r>
        <w:rPr>
          <w:rFonts w:cs="Times New Roman"/>
          <w:b w:val="0"/>
          <w:bCs w:val="0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Cs w:val="24"/>
        </w:rPr>
        <w:fldChar w:fldCharType="separate"/>
      </w:r>
      <w:bookmarkStart w:id="34" w:name="_Toc40958563"/>
      <w:bookmarkStart w:id="35" w:name="_Toc249258336"/>
      <w:r>
        <w:rPr>
          <w:rFonts w:cs="Times New Roman"/>
          <w:bCs w:val="0"/>
          <w:szCs w:val="24"/>
          <w:lang w:val="en-US"/>
        </w:rPr>
        <w:t>Building Rules</w:t>
      </w:r>
      <w:bookmarkEnd w:id="34"/>
      <w:bookmarkEnd w:id="35"/>
      <w:r>
        <w:rPr>
          <w:rFonts w:cs="Times New Roman"/>
          <w:b w:val="0"/>
          <w:bCs w:val="0"/>
          <w:szCs w:val="24"/>
        </w:rPr>
        <w:fldChar w:fldCharType="end"/>
      </w:r>
    </w:p>
    <w:p w14:paraId="4CF0537A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>
        <w:t>Rules are built into a Schematron rules file.  The rules and the report content are transformed by an XSLT processor into a Rules file.</w:t>
      </w:r>
    </w:p>
    <w:p w14:paraId="4CF0537B" w14:textId="77777777" w:rsidR="00345307" w:rsidRDefault="00345307" w:rsidP="00345307">
      <w:r>
        <w:t xml:space="preserve">The Rules file itself is a XSLT transformation file that </w:t>
      </w:r>
      <w:proofErr w:type="gramStart"/>
      <w:r>
        <w:t>is able to</w:t>
      </w:r>
      <w:proofErr w:type="gramEnd"/>
      <w:r>
        <w:t xml:space="preserve"> validate an XBRL instance document.</w:t>
      </w:r>
    </w:p>
    <w:p w14:paraId="4CF0537C" w14:textId="77777777" w:rsidR="00345307" w:rsidRDefault="00EB16E5" w:rsidP="00345307">
      <w:pPr>
        <w:jc w:val="center"/>
      </w:pPr>
      <w:bookmarkStart w:id="36" w:name="BKM_01894125_1B45_4d09_AB4C_13F034993BB4"/>
      <w:bookmarkEnd w:id="36"/>
      <w:r>
        <w:rPr>
          <w:noProof/>
        </w:rPr>
        <w:lastRenderedPageBreak/>
        <w:drawing>
          <wp:inline distT="0" distB="0" distL="0" distR="0" wp14:anchorId="4CF0538F" wp14:editId="4CF05390">
            <wp:extent cx="5991225" cy="5076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537D" w14:textId="77777777" w:rsidR="00345307" w:rsidRDefault="00345307" w:rsidP="00345307">
      <w:pPr>
        <w:jc w:val="center"/>
      </w:pPr>
      <w:r>
        <w:t xml:space="preserve">Figure: </w:t>
      </w:r>
      <w:r>
        <w:fldChar w:fldCharType="begin" w:fldLock="1"/>
      </w:r>
      <w:r>
        <w:instrText>MERGEFIELD Diagram.Name</w:instrText>
      </w:r>
      <w:r>
        <w:fldChar w:fldCharType="separate"/>
      </w:r>
      <w:r>
        <w:t>Building the Rules</w:t>
      </w:r>
      <w:r>
        <w:fldChar w:fldCharType="end"/>
      </w:r>
    </w:p>
    <w:p w14:paraId="4CF0537E" w14:textId="77777777" w:rsidR="00345307" w:rsidRDefault="00345307" w:rsidP="00345307">
      <w:r>
        <w:fldChar w:fldCharType="begin" w:fldLock="1"/>
      </w:r>
      <w:r>
        <w:instrText>MERGEFIELD Diagram.Notes</w:instrText>
      </w:r>
      <w:r>
        <w:fldChar w:fldCharType="end"/>
      </w:r>
      <w:r>
        <w:t xml:space="preserve">   </w:t>
      </w:r>
      <w:bookmarkStart w:id="37" w:name="Validating_Messages"/>
      <w:bookmarkStart w:id="38" w:name="BKM_65D2C6BF_C098_4449_8095_B6E6AC459924"/>
      <w:bookmarkEnd w:id="37"/>
      <w:bookmarkEnd w:id="38"/>
    </w:p>
    <w:p w14:paraId="4CF0537F" w14:textId="77777777" w:rsidR="00345307" w:rsidRDefault="00345307" w:rsidP="00345307">
      <w:pPr>
        <w:pStyle w:val="Heading3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Cs w:val="24"/>
        </w:rPr>
        <w:fldChar w:fldCharType="begin" w:fldLock="1"/>
      </w:r>
      <w:r>
        <w:rPr>
          <w:rFonts w:cs="Times New Roman"/>
          <w:b w:val="0"/>
          <w:bCs w:val="0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Cs w:val="24"/>
        </w:rPr>
        <w:fldChar w:fldCharType="separate"/>
      </w:r>
      <w:bookmarkStart w:id="39" w:name="_Toc40958564"/>
      <w:bookmarkStart w:id="40" w:name="_Toc249258337"/>
      <w:r>
        <w:rPr>
          <w:rFonts w:cs="Times New Roman"/>
          <w:bCs w:val="0"/>
          <w:szCs w:val="24"/>
          <w:lang w:val="en-US"/>
        </w:rPr>
        <w:t>Validating Messages</w:t>
      </w:r>
      <w:bookmarkEnd w:id="39"/>
      <w:bookmarkEnd w:id="40"/>
      <w:r>
        <w:rPr>
          <w:rFonts w:cs="Times New Roman"/>
          <w:b w:val="0"/>
          <w:bCs w:val="0"/>
          <w:szCs w:val="24"/>
        </w:rPr>
        <w:fldChar w:fldCharType="end"/>
      </w:r>
    </w:p>
    <w:p w14:paraId="4CF05380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>
        <w:t>Having buil</w:t>
      </w:r>
      <w:r w:rsidR="00C9092E">
        <w:t>t</w:t>
      </w:r>
      <w:r>
        <w:t xml:space="preserve"> the rules into an XBRL Instance Validator (</w:t>
      </w:r>
      <w:proofErr w:type="gramStart"/>
      <w:r>
        <w:t>actually an</w:t>
      </w:r>
      <w:proofErr w:type="gramEnd"/>
      <w:r>
        <w:t xml:space="preserve"> XSLT file) - XBRL messages can now be validated. </w:t>
      </w:r>
    </w:p>
    <w:p w14:paraId="4CF05381" w14:textId="77777777" w:rsidR="00345307" w:rsidRDefault="00345307" w:rsidP="00345307">
      <w:r>
        <w:t>Messages are passed into the Instance Validator and results are output based upon those validations.</w:t>
      </w:r>
    </w:p>
    <w:p w14:paraId="4CF05382" w14:textId="77777777" w:rsidR="00345307" w:rsidRDefault="00EB16E5" w:rsidP="00345307">
      <w:pPr>
        <w:jc w:val="center"/>
      </w:pPr>
      <w:bookmarkStart w:id="41" w:name="BKM_290AB467_1EF9_457e_8B2D_FB9B844326D5"/>
      <w:bookmarkEnd w:id="41"/>
      <w:r>
        <w:rPr>
          <w:noProof/>
        </w:rPr>
        <w:lastRenderedPageBreak/>
        <w:drawing>
          <wp:inline distT="0" distB="0" distL="0" distR="0" wp14:anchorId="4CF05391" wp14:editId="4CF05392">
            <wp:extent cx="5905500" cy="3981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5383" w14:textId="77777777" w:rsidR="00345307" w:rsidRDefault="00345307" w:rsidP="00345307">
      <w:pPr>
        <w:jc w:val="center"/>
      </w:pPr>
      <w:r>
        <w:t xml:space="preserve">Figure: </w:t>
      </w:r>
      <w:r>
        <w:fldChar w:fldCharType="begin" w:fldLock="1"/>
      </w:r>
      <w:r>
        <w:instrText>MERGEFIELD Diagram.Name</w:instrText>
      </w:r>
      <w:r>
        <w:fldChar w:fldCharType="separate"/>
      </w:r>
      <w:r>
        <w:t>Validating Messages</w:t>
      </w:r>
      <w:r>
        <w:fldChar w:fldCharType="end"/>
      </w:r>
    </w:p>
    <w:p w14:paraId="4CF05384" w14:textId="77777777" w:rsidR="00345307" w:rsidRDefault="00345307" w:rsidP="00345307"/>
    <w:p w14:paraId="4CF05385" w14:textId="77777777" w:rsidR="00345307" w:rsidRDefault="00345307" w:rsidP="00345307">
      <w:r>
        <w:fldChar w:fldCharType="begin" w:fldLock="1"/>
      </w:r>
      <w:r>
        <w:instrText>MERGEFIELD Diagram.Notes</w:instrText>
      </w:r>
      <w:r>
        <w:fldChar w:fldCharType="end"/>
      </w:r>
      <w:r>
        <w:t xml:space="preserve">   </w:t>
      </w:r>
    </w:p>
    <w:bookmarkStart w:id="42" w:name="Choice_of_Query_Language"/>
    <w:bookmarkStart w:id="43" w:name="BKM_2586C338_C332_4802_9A75_282CBB9F9ADF"/>
    <w:bookmarkStart w:id="44" w:name="Schematron_Home_Page_Reference"/>
    <w:bookmarkStart w:id="45" w:name="BKM_CBA05A93_6B09_45c7_B468_5B362FF099E9"/>
    <w:bookmarkEnd w:id="42"/>
    <w:bookmarkEnd w:id="43"/>
    <w:bookmarkEnd w:id="44"/>
    <w:bookmarkEnd w:id="45"/>
    <w:p w14:paraId="4CF05386" w14:textId="77777777" w:rsidR="00345307" w:rsidRDefault="00345307" w:rsidP="00345307">
      <w:pPr>
        <w:pStyle w:val="Heading2"/>
        <w:rPr>
          <w:rFonts w:cs="Times New Roman"/>
          <w:bCs w:val="0"/>
          <w:szCs w:val="24"/>
          <w:lang w:val="en-US"/>
        </w:rPr>
      </w:pPr>
      <w:r>
        <w:rPr>
          <w:rFonts w:cs="Times New Roman"/>
          <w:b w:val="0"/>
          <w:bCs w:val="0"/>
          <w:sz w:val="24"/>
          <w:szCs w:val="24"/>
        </w:rPr>
        <w:fldChar w:fldCharType="begin" w:fldLock="1"/>
      </w:r>
      <w:r>
        <w:rPr>
          <w:rFonts w:cs="Times New Roman"/>
          <w:b w:val="0"/>
          <w:bCs w:val="0"/>
          <w:sz w:val="24"/>
          <w:szCs w:val="24"/>
        </w:rPr>
        <w:instrText xml:space="preserve">MERGEFIELD </w:instrText>
      </w:r>
      <w:r>
        <w:rPr>
          <w:rFonts w:cs="Times New Roman"/>
          <w:bCs w:val="0"/>
          <w:szCs w:val="24"/>
          <w:lang w:val="en-US"/>
        </w:rPr>
        <w:instrText>Pkg.Name</w:instrText>
      </w:r>
      <w:r>
        <w:rPr>
          <w:rFonts w:cs="Times New Roman"/>
          <w:b w:val="0"/>
          <w:bCs w:val="0"/>
          <w:sz w:val="24"/>
          <w:szCs w:val="24"/>
        </w:rPr>
        <w:fldChar w:fldCharType="separate"/>
      </w:r>
      <w:bookmarkStart w:id="46" w:name="_Toc40958565"/>
      <w:bookmarkStart w:id="47" w:name="_Toc249258339"/>
      <w:r>
        <w:rPr>
          <w:rFonts w:cs="Times New Roman"/>
          <w:bCs w:val="0"/>
          <w:szCs w:val="24"/>
          <w:lang w:val="en-US"/>
        </w:rPr>
        <w:t>Schematron Home Page Reference</w:t>
      </w:r>
      <w:bookmarkEnd w:id="46"/>
      <w:bookmarkEnd w:id="47"/>
      <w:r>
        <w:rPr>
          <w:rFonts w:cs="Times New Roman"/>
          <w:b w:val="0"/>
          <w:bCs w:val="0"/>
          <w:sz w:val="24"/>
          <w:szCs w:val="24"/>
        </w:rPr>
        <w:fldChar w:fldCharType="end"/>
      </w:r>
    </w:p>
    <w:p w14:paraId="4CF05387" w14:textId="77777777" w:rsidR="00345307" w:rsidRDefault="00345307" w:rsidP="00345307">
      <w:r>
        <w:fldChar w:fldCharType="begin" w:fldLock="1"/>
      </w:r>
      <w:r>
        <w:instrText xml:space="preserve">MERGEFIELD </w:instrText>
      </w:r>
      <w:r>
        <w:rPr>
          <w:lang w:val="en-US"/>
        </w:rPr>
        <w:instrText>Pkg.Notes</w:instrText>
      </w:r>
      <w:r>
        <w:fldChar w:fldCharType="end"/>
      </w:r>
      <w:r w:rsidR="00682BD4">
        <w:t>See the</w:t>
      </w:r>
      <w:r>
        <w:t xml:space="preserve"> </w:t>
      </w:r>
      <w:hyperlink r:id="rId18" w:history="1">
        <w:r w:rsidR="00682BD4" w:rsidRPr="00376D67">
          <w:rPr>
            <w:rStyle w:val="Hyperlink"/>
          </w:rPr>
          <w:t>http://www.schematron.com</w:t>
        </w:r>
      </w:hyperlink>
      <w:r w:rsidR="00682BD4">
        <w:rPr>
          <w:u w:val="single"/>
        </w:rPr>
        <w:t xml:space="preserve"> </w:t>
      </w:r>
      <w:r w:rsidR="00682BD4">
        <w:t xml:space="preserve"> site for more information about Schematron.</w:t>
      </w:r>
    </w:p>
    <w:p w14:paraId="4CF05388" w14:textId="77777777" w:rsidR="00345307" w:rsidRDefault="00345307" w:rsidP="00345307"/>
    <w:sectPr w:rsidR="00345307">
      <w:headerReference w:type="default" r:id="rId19"/>
      <w:footerReference w:type="defaul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F0DAA" w14:textId="77777777" w:rsidR="00B81D5C" w:rsidRDefault="00B81D5C">
      <w:r>
        <w:separator/>
      </w:r>
    </w:p>
  </w:endnote>
  <w:endnote w:type="continuationSeparator" w:id="0">
    <w:p w14:paraId="4B2E9E07" w14:textId="77777777" w:rsidR="00B81D5C" w:rsidRDefault="00B8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05398" w14:textId="53EA3CD6" w:rsidR="00485A32" w:rsidRDefault="00901A5D">
    <w:pPr>
      <w:pStyle w:val="Footer"/>
    </w:pPr>
    <w:r>
      <w:t>FINAL</w:t>
    </w:r>
    <w:r w:rsidR="00485A32">
      <w:tab/>
      <w:t xml:space="preserve">Page </w:t>
    </w:r>
    <w:r w:rsidR="00485A32">
      <w:fldChar w:fldCharType="begin"/>
    </w:r>
    <w:r w:rsidR="00485A32">
      <w:instrText xml:space="preserve"> PAGE </w:instrText>
    </w:r>
    <w:r w:rsidR="00485A32">
      <w:fldChar w:fldCharType="separate"/>
    </w:r>
    <w:r w:rsidR="00592CA5">
      <w:rPr>
        <w:noProof/>
      </w:rPr>
      <w:t>2</w:t>
    </w:r>
    <w:r w:rsidR="00485A32">
      <w:fldChar w:fldCharType="end"/>
    </w:r>
    <w:r w:rsidR="00485A32">
      <w:t xml:space="preserve"> of </w:t>
    </w:r>
    <w:r w:rsidR="00B81D5C">
      <w:fldChar w:fldCharType="begin"/>
    </w:r>
    <w:r w:rsidR="00B81D5C">
      <w:instrText xml:space="preserve"> NUMPAGES </w:instrText>
    </w:r>
    <w:r w:rsidR="00B81D5C">
      <w:fldChar w:fldCharType="separate"/>
    </w:r>
    <w:r w:rsidR="00592CA5">
      <w:rPr>
        <w:noProof/>
      </w:rPr>
      <w:t>10</w:t>
    </w:r>
    <w:r w:rsidR="00B81D5C">
      <w:rPr>
        <w:noProof/>
      </w:rPr>
      <w:fldChar w:fldCharType="end"/>
    </w:r>
    <w:r w:rsidR="00485A32">
      <w:tab/>
    </w:r>
    <w:r w:rsidR="003350FA">
      <w:t>08</w:t>
    </w:r>
    <w:r w:rsidR="00156A32">
      <w:t>/</w:t>
    </w:r>
    <w:r w:rsidR="00C03F9B">
      <w:t>06</w:t>
    </w:r>
    <w:r w:rsidR="00485A32">
      <w:t>/</w:t>
    </w:r>
    <w:r w:rsidR="00C03F9B">
      <w:t>202</w:t>
    </w:r>
    <w:r w:rsidR="00156A32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65E5C" w14:textId="77777777" w:rsidR="00B81D5C" w:rsidRDefault="00B81D5C">
      <w:r>
        <w:separator/>
      </w:r>
    </w:p>
  </w:footnote>
  <w:footnote w:type="continuationSeparator" w:id="0">
    <w:p w14:paraId="208FAAFD" w14:textId="77777777" w:rsidR="00B81D5C" w:rsidRDefault="00B81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05397" w14:textId="77777777" w:rsidR="00485A32" w:rsidRDefault="00485A32" w:rsidP="00261D77">
    <w:pPr>
      <w:pStyle w:val="Header"/>
      <w:jc w:val="center"/>
    </w:pPr>
    <w:r>
      <w:rPr>
        <w:rFonts w:ascii="Courier New" w:hAnsi="Courier New" w:cs="Courier New"/>
        <w:sz w:val="20"/>
        <w:szCs w:val="20"/>
      </w:rPr>
      <w:t xml:space="preserve">ATO </w:t>
    </w:r>
    <w:smartTag w:uri="urn:schemas-microsoft-com:office:smarttags" w:element="PersonName">
      <w:smartTag w:uri="urn:schemas:contacts" w:element="GivenName">
        <w:r>
          <w:rPr>
            <w:rFonts w:ascii="Courier New" w:hAnsi="Courier New" w:cs="Courier New"/>
            <w:sz w:val="20"/>
            <w:szCs w:val="20"/>
          </w:rPr>
          <w:t>Schematron</w:t>
        </w:r>
      </w:smartTag>
      <w:r>
        <w:rPr>
          <w:rFonts w:ascii="Courier New" w:hAnsi="Courier New" w:cs="Courier New"/>
          <w:sz w:val="20"/>
          <w:szCs w:val="20"/>
        </w:rPr>
        <w:t xml:space="preserve"> </w:t>
      </w:r>
      <w:smartTag w:uri="urn:schemas:contacts" w:element="Sn">
        <w:r>
          <w:rPr>
            <w:rFonts w:ascii="Courier New" w:hAnsi="Courier New" w:cs="Courier New"/>
            <w:sz w:val="20"/>
            <w:szCs w:val="20"/>
          </w:rPr>
          <w:t>ReadMe</w:t>
        </w:r>
      </w:smartTag>
    </w:smartTag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214FC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B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30BA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D6CD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842B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BCE2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9E77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EA87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22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BA1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F3D34"/>
    <w:multiLevelType w:val="hybridMultilevel"/>
    <w:tmpl w:val="CF4C3E34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512F7E4"/>
    <w:multiLevelType w:val="multilevel"/>
    <w:tmpl w:val="0000000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51313F7"/>
    <w:multiLevelType w:val="multilevel"/>
    <w:tmpl w:val="00000001"/>
    <w:name w:val="HTML-List8513637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5131406"/>
    <w:multiLevelType w:val="multilevel"/>
    <w:tmpl w:val="00000002"/>
    <w:name w:val="HTML-List851363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6AA6B1D"/>
    <w:multiLevelType w:val="hybridMultilevel"/>
    <w:tmpl w:val="F27C35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4F465E"/>
    <w:multiLevelType w:val="hybridMultilevel"/>
    <w:tmpl w:val="968CE6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1874CD"/>
    <w:multiLevelType w:val="hybridMultilevel"/>
    <w:tmpl w:val="4F304E9C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1870966"/>
    <w:multiLevelType w:val="hybridMultilevel"/>
    <w:tmpl w:val="451E15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0D3B8E"/>
    <w:multiLevelType w:val="multilevel"/>
    <w:tmpl w:val="EDD226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3DC032B"/>
    <w:multiLevelType w:val="hybridMultilevel"/>
    <w:tmpl w:val="62F260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304361"/>
    <w:multiLevelType w:val="hybridMultilevel"/>
    <w:tmpl w:val="5BF8BAF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E3058"/>
    <w:multiLevelType w:val="hybridMultilevel"/>
    <w:tmpl w:val="EC68E87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96605F"/>
    <w:multiLevelType w:val="hybridMultilevel"/>
    <w:tmpl w:val="CD28307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D7C81"/>
    <w:multiLevelType w:val="hybridMultilevel"/>
    <w:tmpl w:val="4BDEE55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4217CA"/>
    <w:multiLevelType w:val="hybridMultilevel"/>
    <w:tmpl w:val="A6A48F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6155FF"/>
    <w:multiLevelType w:val="hybridMultilevel"/>
    <w:tmpl w:val="C8FCEC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737C52"/>
    <w:multiLevelType w:val="hybridMultilevel"/>
    <w:tmpl w:val="28E65574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C01D0F"/>
    <w:multiLevelType w:val="hybridMultilevel"/>
    <w:tmpl w:val="E23A7B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77BFD"/>
    <w:multiLevelType w:val="hybridMultilevel"/>
    <w:tmpl w:val="DFEE6C8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413A8D"/>
    <w:multiLevelType w:val="hybridMultilevel"/>
    <w:tmpl w:val="43B4C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16CB8"/>
    <w:multiLevelType w:val="hybridMultilevel"/>
    <w:tmpl w:val="FC7A6D6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853C52"/>
    <w:multiLevelType w:val="hybridMultilevel"/>
    <w:tmpl w:val="BB24FC9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D27F48"/>
    <w:multiLevelType w:val="hybridMultilevel"/>
    <w:tmpl w:val="21C2754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D6196"/>
    <w:multiLevelType w:val="hybridMultilevel"/>
    <w:tmpl w:val="E6829CF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729CB"/>
    <w:multiLevelType w:val="hybridMultilevel"/>
    <w:tmpl w:val="13B67F1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021F3A"/>
    <w:multiLevelType w:val="hybridMultilevel"/>
    <w:tmpl w:val="653046FE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905298E"/>
    <w:multiLevelType w:val="hybridMultilevel"/>
    <w:tmpl w:val="CAA24E9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51381"/>
    <w:multiLevelType w:val="hybridMultilevel"/>
    <w:tmpl w:val="F20C4500"/>
    <w:lvl w:ilvl="0" w:tplc="62DC184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D113F6"/>
    <w:multiLevelType w:val="hybridMultilevel"/>
    <w:tmpl w:val="D036292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8483F"/>
    <w:multiLevelType w:val="hybridMultilevel"/>
    <w:tmpl w:val="BE1AA36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B3FA1"/>
    <w:multiLevelType w:val="hybridMultilevel"/>
    <w:tmpl w:val="A454B4A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0274B"/>
    <w:multiLevelType w:val="hybridMultilevel"/>
    <w:tmpl w:val="31DAE1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C61701"/>
    <w:multiLevelType w:val="hybridMultilevel"/>
    <w:tmpl w:val="9136550E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28"/>
  </w:num>
  <w:num w:numId="13">
    <w:abstractNumId w:val="37"/>
  </w:num>
  <w:num w:numId="14">
    <w:abstractNumId w:val="33"/>
  </w:num>
  <w:num w:numId="15">
    <w:abstractNumId w:val="20"/>
  </w:num>
  <w:num w:numId="16">
    <w:abstractNumId w:val="42"/>
  </w:num>
  <w:num w:numId="17">
    <w:abstractNumId w:val="26"/>
  </w:num>
  <w:num w:numId="18">
    <w:abstractNumId w:val="35"/>
  </w:num>
  <w:num w:numId="19">
    <w:abstractNumId w:val="41"/>
  </w:num>
  <w:num w:numId="20">
    <w:abstractNumId w:val="18"/>
  </w:num>
  <w:num w:numId="21">
    <w:abstractNumId w:val="40"/>
  </w:num>
  <w:num w:numId="22">
    <w:abstractNumId w:val="31"/>
  </w:num>
  <w:num w:numId="23">
    <w:abstractNumId w:val="24"/>
  </w:num>
  <w:num w:numId="24">
    <w:abstractNumId w:val="14"/>
  </w:num>
  <w:num w:numId="25">
    <w:abstractNumId w:val="11"/>
  </w:num>
  <w:num w:numId="26">
    <w:abstractNumId w:val="12"/>
  </w:num>
  <w:num w:numId="27">
    <w:abstractNumId w:val="13"/>
  </w:num>
  <w:num w:numId="28">
    <w:abstractNumId w:val="38"/>
  </w:num>
  <w:num w:numId="29">
    <w:abstractNumId w:val="22"/>
  </w:num>
  <w:num w:numId="30">
    <w:abstractNumId w:val="23"/>
  </w:num>
  <w:num w:numId="31">
    <w:abstractNumId w:val="39"/>
  </w:num>
  <w:num w:numId="32">
    <w:abstractNumId w:val="34"/>
  </w:num>
  <w:num w:numId="33">
    <w:abstractNumId w:val="27"/>
  </w:num>
  <w:num w:numId="34">
    <w:abstractNumId w:val="32"/>
  </w:num>
  <w:num w:numId="35">
    <w:abstractNumId w:val="30"/>
  </w:num>
  <w:num w:numId="36">
    <w:abstractNumId w:val="16"/>
  </w:num>
  <w:num w:numId="37">
    <w:abstractNumId w:val="10"/>
  </w:num>
  <w:num w:numId="38">
    <w:abstractNumId w:val="36"/>
  </w:num>
  <w:num w:numId="39">
    <w:abstractNumId w:val="17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15"/>
  </w:num>
  <w:num w:numId="43">
    <w:abstractNumId w:val="19"/>
  </w:num>
  <w:num w:numId="44">
    <w:abstractNumId w:val="2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A65"/>
    <w:rsid w:val="00006589"/>
    <w:rsid w:val="00031CA3"/>
    <w:rsid w:val="00044072"/>
    <w:rsid w:val="00045A72"/>
    <w:rsid w:val="000513DB"/>
    <w:rsid w:val="00051943"/>
    <w:rsid w:val="00070D10"/>
    <w:rsid w:val="00070F89"/>
    <w:rsid w:val="000926BD"/>
    <w:rsid w:val="000A1A65"/>
    <w:rsid w:val="000A64A4"/>
    <w:rsid w:val="000B32B8"/>
    <w:rsid w:val="000B7645"/>
    <w:rsid w:val="000D05E9"/>
    <w:rsid w:val="000D1D73"/>
    <w:rsid w:val="000D450E"/>
    <w:rsid w:val="000E199E"/>
    <w:rsid w:val="000F30A4"/>
    <w:rsid w:val="00113E3E"/>
    <w:rsid w:val="00117261"/>
    <w:rsid w:val="001174E7"/>
    <w:rsid w:val="00123236"/>
    <w:rsid w:val="001314FE"/>
    <w:rsid w:val="001340D4"/>
    <w:rsid w:val="001431AA"/>
    <w:rsid w:val="001509D1"/>
    <w:rsid w:val="00156A32"/>
    <w:rsid w:val="001610E8"/>
    <w:rsid w:val="001645D6"/>
    <w:rsid w:val="00164C4F"/>
    <w:rsid w:val="00172401"/>
    <w:rsid w:val="001733CE"/>
    <w:rsid w:val="00174D9A"/>
    <w:rsid w:val="00183B53"/>
    <w:rsid w:val="0019672A"/>
    <w:rsid w:val="001A0C2C"/>
    <w:rsid w:val="001A2B92"/>
    <w:rsid w:val="001A3C09"/>
    <w:rsid w:val="001A5060"/>
    <w:rsid w:val="001B5D99"/>
    <w:rsid w:val="001B65A1"/>
    <w:rsid w:val="001C0DA3"/>
    <w:rsid w:val="001C4230"/>
    <w:rsid w:val="001D44A4"/>
    <w:rsid w:val="001E6B65"/>
    <w:rsid w:val="001E77F9"/>
    <w:rsid w:val="00216BAC"/>
    <w:rsid w:val="00217503"/>
    <w:rsid w:val="002256A0"/>
    <w:rsid w:val="00235C38"/>
    <w:rsid w:val="002440A3"/>
    <w:rsid w:val="002445B1"/>
    <w:rsid w:val="00261D77"/>
    <w:rsid w:val="002639A9"/>
    <w:rsid w:val="00263B3E"/>
    <w:rsid w:val="0027255B"/>
    <w:rsid w:val="00277B81"/>
    <w:rsid w:val="00281215"/>
    <w:rsid w:val="00285DA6"/>
    <w:rsid w:val="00286A1B"/>
    <w:rsid w:val="00287151"/>
    <w:rsid w:val="002B096C"/>
    <w:rsid w:val="002C425F"/>
    <w:rsid w:val="002E02D4"/>
    <w:rsid w:val="002F4FFD"/>
    <w:rsid w:val="00301D6B"/>
    <w:rsid w:val="00314253"/>
    <w:rsid w:val="00317DF1"/>
    <w:rsid w:val="00321B22"/>
    <w:rsid w:val="0032311D"/>
    <w:rsid w:val="00323E51"/>
    <w:rsid w:val="003350FA"/>
    <w:rsid w:val="0033546B"/>
    <w:rsid w:val="00335B28"/>
    <w:rsid w:val="00345124"/>
    <w:rsid w:val="00345307"/>
    <w:rsid w:val="00345992"/>
    <w:rsid w:val="003466E1"/>
    <w:rsid w:val="00354F0E"/>
    <w:rsid w:val="003565FD"/>
    <w:rsid w:val="00356CAF"/>
    <w:rsid w:val="0036153B"/>
    <w:rsid w:val="00382588"/>
    <w:rsid w:val="00391250"/>
    <w:rsid w:val="00393057"/>
    <w:rsid w:val="003944F0"/>
    <w:rsid w:val="003A7CDB"/>
    <w:rsid w:val="003B1DA6"/>
    <w:rsid w:val="003D3625"/>
    <w:rsid w:val="003D4114"/>
    <w:rsid w:val="003E47E7"/>
    <w:rsid w:val="003E71F5"/>
    <w:rsid w:val="003F3878"/>
    <w:rsid w:val="004061ED"/>
    <w:rsid w:val="00410D57"/>
    <w:rsid w:val="004148FC"/>
    <w:rsid w:val="00415B73"/>
    <w:rsid w:val="00435FE6"/>
    <w:rsid w:val="00442C4A"/>
    <w:rsid w:val="00446FEA"/>
    <w:rsid w:val="00452412"/>
    <w:rsid w:val="00455794"/>
    <w:rsid w:val="00455B7E"/>
    <w:rsid w:val="0046042E"/>
    <w:rsid w:val="00465142"/>
    <w:rsid w:val="00485A32"/>
    <w:rsid w:val="00487B47"/>
    <w:rsid w:val="00492CE5"/>
    <w:rsid w:val="00495170"/>
    <w:rsid w:val="004953D6"/>
    <w:rsid w:val="004A0653"/>
    <w:rsid w:val="004A38FB"/>
    <w:rsid w:val="004A55CA"/>
    <w:rsid w:val="004B4B67"/>
    <w:rsid w:val="004E0932"/>
    <w:rsid w:val="004E10B5"/>
    <w:rsid w:val="004E71CB"/>
    <w:rsid w:val="004F12AC"/>
    <w:rsid w:val="004F1B55"/>
    <w:rsid w:val="00512009"/>
    <w:rsid w:val="00515AE4"/>
    <w:rsid w:val="0051605E"/>
    <w:rsid w:val="00532404"/>
    <w:rsid w:val="00534E85"/>
    <w:rsid w:val="005446FF"/>
    <w:rsid w:val="00576EEA"/>
    <w:rsid w:val="00592CA5"/>
    <w:rsid w:val="005A4011"/>
    <w:rsid w:val="005A7DCD"/>
    <w:rsid w:val="005B3DED"/>
    <w:rsid w:val="005B6AC9"/>
    <w:rsid w:val="005B7223"/>
    <w:rsid w:val="005B74EE"/>
    <w:rsid w:val="005B7A0E"/>
    <w:rsid w:val="005C257D"/>
    <w:rsid w:val="005D0D21"/>
    <w:rsid w:val="005E051A"/>
    <w:rsid w:val="005E1616"/>
    <w:rsid w:val="005F1CF4"/>
    <w:rsid w:val="005F76B3"/>
    <w:rsid w:val="00615E3D"/>
    <w:rsid w:val="0062052D"/>
    <w:rsid w:val="00623498"/>
    <w:rsid w:val="0063136B"/>
    <w:rsid w:val="00635213"/>
    <w:rsid w:val="00652A13"/>
    <w:rsid w:val="0066270B"/>
    <w:rsid w:val="00675300"/>
    <w:rsid w:val="0067652A"/>
    <w:rsid w:val="006817EC"/>
    <w:rsid w:val="00682BD4"/>
    <w:rsid w:val="00687D6B"/>
    <w:rsid w:val="00696289"/>
    <w:rsid w:val="006A06EB"/>
    <w:rsid w:val="006C4470"/>
    <w:rsid w:val="006C6A65"/>
    <w:rsid w:val="006D6C7B"/>
    <w:rsid w:val="006D7608"/>
    <w:rsid w:val="007052E4"/>
    <w:rsid w:val="00706D35"/>
    <w:rsid w:val="00711005"/>
    <w:rsid w:val="00711A03"/>
    <w:rsid w:val="00722D77"/>
    <w:rsid w:val="00726A2B"/>
    <w:rsid w:val="00727191"/>
    <w:rsid w:val="00731DE2"/>
    <w:rsid w:val="00737BD7"/>
    <w:rsid w:val="007406D7"/>
    <w:rsid w:val="007524D3"/>
    <w:rsid w:val="00752B4F"/>
    <w:rsid w:val="00756B43"/>
    <w:rsid w:val="00772EEA"/>
    <w:rsid w:val="00774975"/>
    <w:rsid w:val="007813BB"/>
    <w:rsid w:val="0079229E"/>
    <w:rsid w:val="00797B9F"/>
    <w:rsid w:val="007C2EBC"/>
    <w:rsid w:val="007C452F"/>
    <w:rsid w:val="007C6A71"/>
    <w:rsid w:val="007C74C6"/>
    <w:rsid w:val="007D6E7A"/>
    <w:rsid w:val="007E1093"/>
    <w:rsid w:val="007E3384"/>
    <w:rsid w:val="008047D1"/>
    <w:rsid w:val="00812073"/>
    <w:rsid w:val="00850651"/>
    <w:rsid w:val="00857F43"/>
    <w:rsid w:val="0088779B"/>
    <w:rsid w:val="0089135F"/>
    <w:rsid w:val="00894C95"/>
    <w:rsid w:val="0089572D"/>
    <w:rsid w:val="008A3075"/>
    <w:rsid w:val="008A7A82"/>
    <w:rsid w:val="008B0978"/>
    <w:rsid w:val="008B728E"/>
    <w:rsid w:val="008E4A3F"/>
    <w:rsid w:val="00901A5D"/>
    <w:rsid w:val="0090279A"/>
    <w:rsid w:val="009177ED"/>
    <w:rsid w:val="00923737"/>
    <w:rsid w:val="009329C2"/>
    <w:rsid w:val="00933B2A"/>
    <w:rsid w:val="00935724"/>
    <w:rsid w:val="00935DC1"/>
    <w:rsid w:val="00940C89"/>
    <w:rsid w:val="009464F8"/>
    <w:rsid w:val="009568D2"/>
    <w:rsid w:val="00965567"/>
    <w:rsid w:val="00973C20"/>
    <w:rsid w:val="009A095B"/>
    <w:rsid w:val="009A374F"/>
    <w:rsid w:val="009A3C37"/>
    <w:rsid w:val="009B0F54"/>
    <w:rsid w:val="009C6C79"/>
    <w:rsid w:val="009D7133"/>
    <w:rsid w:val="009E28CD"/>
    <w:rsid w:val="00A036B5"/>
    <w:rsid w:val="00A05767"/>
    <w:rsid w:val="00A06B73"/>
    <w:rsid w:val="00A10B78"/>
    <w:rsid w:val="00A11ADE"/>
    <w:rsid w:val="00A167D2"/>
    <w:rsid w:val="00A22E37"/>
    <w:rsid w:val="00A22FEC"/>
    <w:rsid w:val="00A27D6C"/>
    <w:rsid w:val="00A30CA3"/>
    <w:rsid w:val="00A30FAC"/>
    <w:rsid w:val="00A36CFA"/>
    <w:rsid w:val="00A43DD8"/>
    <w:rsid w:val="00A4657F"/>
    <w:rsid w:val="00A47B58"/>
    <w:rsid w:val="00A57B86"/>
    <w:rsid w:val="00A6214A"/>
    <w:rsid w:val="00A73033"/>
    <w:rsid w:val="00A7687A"/>
    <w:rsid w:val="00A80DA2"/>
    <w:rsid w:val="00A818C3"/>
    <w:rsid w:val="00A878E7"/>
    <w:rsid w:val="00A93985"/>
    <w:rsid w:val="00A93DD2"/>
    <w:rsid w:val="00AB22EF"/>
    <w:rsid w:val="00AB5AC5"/>
    <w:rsid w:val="00AC70AE"/>
    <w:rsid w:val="00AC7654"/>
    <w:rsid w:val="00AD4969"/>
    <w:rsid w:val="00AE7475"/>
    <w:rsid w:val="00AF636F"/>
    <w:rsid w:val="00B022D8"/>
    <w:rsid w:val="00B147BC"/>
    <w:rsid w:val="00B20A26"/>
    <w:rsid w:val="00B22CFE"/>
    <w:rsid w:val="00B24CCE"/>
    <w:rsid w:val="00B430ED"/>
    <w:rsid w:val="00B439D4"/>
    <w:rsid w:val="00B50CC5"/>
    <w:rsid w:val="00B51925"/>
    <w:rsid w:val="00B619C1"/>
    <w:rsid w:val="00B6318C"/>
    <w:rsid w:val="00B676D8"/>
    <w:rsid w:val="00B81D5C"/>
    <w:rsid w:val="00B91106"/>
    <w:rsid w:val="00B963A2"/>
    <w:rsid w:val="00BB5889"/>
    <w:rsid w:val="00BD557A"/>
    <w:rsid w:val="00BD76C7"/>
    <w:rsid w:val="00BF02E9"/>
    <w:rsid w:val="00BF1FAD"/>
    <w:rsid w:val="00BF410B"/>
    <w:rsid w:val="00BF790E"/>
    <w:rsid w:val="00C03F9B"/>
    <w:rsid w:val="00C0466C"/>
    <w:rsid w:val="00C15C86"/>
    <w:rsid w:val="00C36F52"/>
    <w:rsid w:val="00C60839"/>
    <w:rsid w:val="00C6414C"/>
    <w:rsid w:val="00C759FD"/>
    <w:rsid w:val="00C77F78"/>
    <w:rsid w:val="00C875F4"/>
    <w:rsid w:val="00C9092E"/>
    <w:rsid w:val="00CA38DB"/>
    <w:rsid w:val="00CB187E"/>
    <w:rsid w:val="00CB5DD9"/>
    <w:rsid w:val="00CB61E3"/>
    <w:rsid w:val="00CC31E2"/>
    <w:rsid w:val="00CC5D2A"/>
    <w:rsid w:val="00CD5E21"/>
    <w:rsid w:val="00CF1D77"/>
    <w:rsid w:val="00CF1F7D"/>
    <w:rsid w:val="00D07F04"/>
    <w:rsid w:val="00D109A2"/>
    <w:rsid w:val="00D11004"/>
    <w:rsid w:val="00D20F6C"/>
    <w:rsid w:val="00D34020"/>
    <w:rsid w:val="00D51D9A"/>
    <w:rsid w:val="00D522C4"/>
    <w:rsid w:val="00D53122"/>
    <w:rsid w:val="00D53146"/>
    <w:rsid w:val="00D64013"/>
    <w:rsid w:val="00D679C7"/>
    <w:rsid w:val="00D757AB"/>
    <w:rsid w:val="00D94AE9"/>
    <w:rsid w:val="00D95630"/>
    <w:rsid w:val="00D974FE"/>
    <w:rsid w:val="00D97CC8"/>
    <w:rsid w:val="00DA289F"/>
    <w:rsid w:val="00DA2CD4"/>
    <w:rsid w:val="00DB34D5"/>
    <w:rsid w:val="00DB7DD1"/>
    <w:rsid w:val="00DC08F0"/>
    <w:rsid w:val="00DC4D57"/>
    <w:rsid w:val="00DD1CC9"/>
    <w:rsid w:val="00DD2143"/>
    <w:rsid w:val="00DD2F90"/>
    <w:rsid w:val="00DF3182"/>
    <w:rsid w:val="00DF5439"/>
    <w:rsid w:val="00E04D94"/>
    <w:rsid w:val="00E2127F"/>
    <w:rsid w:val="00E2438D"/>
    <w:rsid w:val="00E260C0"/>
    <w:rsid w:val="00E308DB"/>
    <w:rsid w:val="00E37EEB"/>
    <w:rsid w:val="00E40959"/>
    <w:rsid w:val="00E47FDF"/>
    <w:rsid w:val="00E51590"/>
    <w:rsid w:val="00E51767"/>
    <w:rsid w:val="00E52AA0"/>
    <w:rsid w:val="00E532C8"/>
    <w:rsid w:val="00E720C9"/>
    <w:rsid w:val="00E748B6"/>
    <w:rsid w:val="00E7697E"/>
    <w:rsid w:val="00E77D7D"/>
    <w:rsid w:val="00E825B3"/>
    <w:rsid w:val="00E83B50"/>
    <w:rsid w:val="00E91FCC"/>
    <w:rsid w:val="00E925A1"/>
    <w:rsid w:val="00E95525"/>
    <w:rsid w:val="00EA15BF"/>
    <w:rsid w:val="00EA4476"/>
    <w:rsid w:val="00EA643A"/>
    <w:rsid w:val="00EB16E5"/>
    <w:rsid w:val="00EB5B84"/>
    <w:rsid w:val="00EC1379"/>
    <w:rsid w:val="00EC50CF"/>
    <w:rsid w:val="00EC6FFB"/>
    <w:rsid w:val="00ED0E3C"/>
    <w:rsid w:val="00ED1C07"/>
    <w:rsid w:val="00EE5BDE"/>
    <w:rsid w:val="00EE624C"/>
    <w:rsid w:val="00EE78D7"/>
    <w:rsid w:val="00F056AF"/>
    <w:rsid w:val="00F13C4F"/>
    <w:rsid w:val="00F22173"/>
    <w:rsid w:val="00F27B18"/>
    <w:rsid w:val="00F32924"/>
    <w:rsid w:val="00F33B12"/>
    <w:rsid w:val="00F35358"/>
    <w:rsid w:val="00F35AE7"/>
    <w:rsid w:val="00F379F6"/>
    <w:rsid w:val="00F43A53"/>
    <w:rsid w:val="00F44660"/>
    <w:rsid w:val="00F5017D"/>
    <w:rsid w:val="00F544A5"/>
    <w:rsid w:val="00F67E18"/>
    <w:rsid w:val="00F84583"/>
    <w:rsid w:val="00F91EA2"/>
    <w:rsid w:val="00FA03C4"/>
    <w:rsid w:val="00FA6742"/>
    <w:rsid w:val="00FB1643"/>
    <w:rsid w:val="00FB2B3F"/>
    <w:rsid w:val="00FD76C3"/>
    <w:rsid w:val="00FE143F"/>
    <w:rsid w:val="00FE22CA"/>
    <w:rsid w:val="00FF112E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:contacts" w:name="Sn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4:docId w14:val="4CF052DB"/>
  <w15:docId w15:val="{2F7C2B71-320C-4EC8-BC0D-A782A839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7687A"/>
  </w:style>
  <w:style w:type="paragraph" w:styleId="Heading1">
    <w:name w:val="heading 1"/>
    <w:basedOn w:val="Normal"/>
    <w:next w:val="Normal"/>
    <w:link w:val="Heading1Char"/>
    <w:uiPriority w:val="9"/>
    <w:qFormat/>
    <w:rsid w:val="00A768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8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68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68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768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768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768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768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768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A1A65"/>
    <w:rPr>
      <w:color w:val="0000FF"/>
      <w:u w:val="single"/>
    </w:rPr>
  </w:style>
  <w:style w:type="paragraph" w:styleId="Header">
    <w:name w:val="header"/>
    <w:basedOn w:val="Normal"/>
    <w:rsid w:val="00261D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61D77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uiPriority w:val="39"/>
    <w:rsid w:val="0027255B"/>
  </w:style>
  <w:style w:type="character" w:styleId="FollowedHyperlink">
    <w:name w:val="FollowedHyperlink"/>
    <w:rsid w:val="003D3625"/>
    <w:rPr>
      <w:color w:val="800080"/>
      <w:u w:val="single"/>
    </w:rPr>
  </w:style>
  <w:style w:type="paragraph" w:styleId="TOC2">
    <w:name w:val="toc 2"/>
    <w:basedOn w:val="Normal"/>
    <w:next w:val="Normal"/>
    <w:autoRedefine/>
    <w:uiPriority w:val="39"/>
    <w:rsid w:val="0093572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35724"/>
    <w:pPr>
      <w:ind w:left="480"/>
    </w:pPr>
  </w:style>
  <w:style w:type="table" w:styleId="TableGrid">
    <w:name w:val="Table Grid"/>
    <w:basedOn w:val="TableNormal"/>
    <w:rsid w:val="000E1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7687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A7687A"/>
    <w:pPr>
      <w:ind w:left="720"/>
      <w:contextualSpacing/>
    </w:pPr>
  </w:style>
  <w:style w:type="character" w:styleId="CommentReference">
    <w:name w:val="annotation reference"/>
    <w:semiHidden/>
    <w:rsid w:val="00A73033"/>
    <w:rPr>
      <w:sz w:val="16"/>
      <w:szCs w:val="16"/>
    </w:rPr>
  </w:style>
  <w:style w:type="paragraph" w:styleId="CommentText">
    <w:name w:val="annotation text"/>
    <w:basedOn w:val="Normal"/>
    <w:semiHidden/>
    <w:rsid w:val="00A730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3033"/>
    <w:rPr>
      <w:b/>
      <w:bCs/>
    </w:rPr>
  </w:style>
  <w:style w:type="paragraph" w:styleId="BalloonText">
    <w:name w:val="Balloon Text"/>
    <w:basedOn w:val="Normal"/>
    <w:semiHidden/>
    <w:rsid w:val="00A7303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B5B84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768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68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768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768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768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768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768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768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68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768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68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8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68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7687A"/>
    <w:rPr>
      <w:b/>
      <w:bCs/>
    </w:rPr>
  </w:style>
  <w:style w:type="character" w:styleId="Emphasis">
    <w:name w:val="Emphasis"/>
    <w:basedOn w:val="DefaultParagraphFont"/>
    <w:uiPriority w:val="20"/>
    <w:qFormat/>
    <w:rsid w:val="00A7687A"/>
    <w:rPr>
      <w:i/>
      <w:iCs/>
    </w:rPr>
  </w:style>
  <w:style w:type="paragraph" w:styleId="NoSpacing">
    <w:name w:val="No Spacing"/>
    <w:uiPriority w:val="1"/>
    <w:qFormat/>
    <w:rsid w:val="00A7687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7687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7687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68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687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687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7687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7687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7687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7687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687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7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chematron.com" TargetMode="External"/><Relationship Id="rId18" Type="http://schemas.openxmlformats.org/officeDocument/2006/relationships/hyperlink" Target="http://www.schematron.com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7C64BD2626147A6CDB32DF403B2B2" ma:contentTypeVersion="11" ma:contentTypeDescription="Create a new document." ma:contentTypeScope="" ma:versionID="76bc8ad5567d0e30398150dd5a71baa7">
  <xsd:schema xmlns:xsd="http://www.w3.org/2001/XMLSchema" xmlns:xs="http://www.w3.org/2001/XMLSchema" xmlns:p="http://schemas.microsoft.com/office/2006/metadata/properties" xmlns:ns2="http://schemas.microsoft.com/sharepoint/v3/fields" xmlns:ns3="fc59432e-ae4a-4421-baa1-eafb91367645" xmlns:ns4="609ac5f6-0d75-4c55-a681-0835f604f482" targetNamespace="http://schemas.microsoft.com/office/2006/metadata/properties" ma:root="true" ma:fieldsID="0f8710ef493e0896d82fc742bee9e896" ns2:_="" ns3:_="" ns4:_="">
    <xsd:import namespace="http://schemas.microsoft.com/sharepoint/v3/fields"/>
    <xsd:import namespace="fc59432e-ae4a-4421-baa1-eafb91367645"/>
    <xsd:import namespace="609ac5f6-0d75-4c55-a681-0835f604f482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Document_x0020_Status" minOccurs="0"/>
                <xsd:element ref="ns3:Publication_x0020_Date" minOccurs="0"/>
                <xsd:element ref="ns3:Publication_x0020_Site" minOccurs="0"/>
                <xsd:element ref="ns3:Project" minOccurs="0"/>
                <xsd:element ref="ns3:Audience"/>
                <xsd:element ref="ns3:Domain"/>
                <xsd:element ref="ns3:Endorsing_x0020_Officer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2" nillable="true" ma:displayName="Doc Version" ma:internalName="_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9432e-ae4a-4421-baa1-eafb91367645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3" nillable="true" ma:displayName="Document Status" ma:default="Draft" ma:format="RadioButtons" ma:internalName="Document_x0020_Status">
      <xsd:simpleType>
        <xsd:restriction base="dms:Choice">
          <xsd:enumeration value="Draft"/>
          <xsd:enumeration value="Under Review"/>
          <xsd:enumeration value="Endorsed"/>
          <xsd:enumeration value="Published Draft"/>
          <xsd:enumeration value="Published Final"/>
        </xsd:restriction>
      </xsd:simpleType>
    </xsd:element>
    <xsd:element name="Publication_x0020_Date" ma:index="4" nillable="true" ma:displayName="Publication Date" ma:format="DateTime" ma:internalName="Publication_x0020_Date">
      <xsd:simpleType>
        <xsd:restriction base="dms:DateTime"/>
      </xsd:simpleType>
    </xsd:element>
    <xsd:element name="Publication_x0020_Site" ma:index="5" nillable="true" ma:displayName="Publication Site" ma:internalName="Publication_x0020_Site">
      <xsd:simpleType>
        <xsd:restriction base="dms:Text">
          <xsd:maxLength value="255"/>
        </xsd:restriction>
      </xsd:simpleType>
    </xsd:element>
    <xsd:element name="Project" ma:index="6" nillable="true" ma:displayName="Project" ma:internalName="Project">
      <xsd:simpleType>
        <xsd:restriction base="dms:Text">
          <xsd:maxLength value="255"/>
        </xsd:restriction>
      </xsd:simpleType>
    </xsd:element>
    <xsd:element name="Audience" ma:index="15" ma:displayName="Audience" ma:default="Internal" ma:format="RadioButtons" ma:internalName="Audience">
      <xsd:simpleType>
        <xsd:restriction base="dms:Choice">
          <xsd:enumeration value="Internal"/>
          <xsd:enumeration value="External"/>
        </xsd:restriction>
      </xsd:simpleType>
    </xsd:element>
    <xsd:element name="Domain" ma:index="16" ma:displayName="Domain" ma:default="NITR" ma:format="RadioButtons" ma:internalName="Domain">
      <xsd:simpleType>
        <xsd:restriction base="dms:Choice">
          <xsd:enumeration value="NITR"/>
          <xsd:enumeration value="IITR"/>
          <xsd:enumeration value="Shared ITR"/>
          <xsd:enumeration value="EMP Obligation"/>
          <xsd:enumeration value="AS"/>
          <xsd:enumeration value="Super"/>
          <xsd:enumeration value="Client Management"/>
          <xsd:enumeration value="Practice Management"/>
          <xsd:enumeration value="Payment System Administrators"/>
          <xsd:enumeration value="Business Management"/>
          <xsd:enumeration value="Common"/>
          <xsd:enumeration value="Architecture"/>
          <xsd:enumeration value="Whole of Government"/>
          <xsd:enumeration value="Significant Global Entity Obligations"/>
          <xsd:enumeration value="Automatic Exchange of Information (AEOI)"/>
          <xsd:enumeration value="Obligation Management"/>
          <xsd:enumeration value="Account Management"/>
          <xsd:enumeration value="Lodgment Management"/>
          <xsd:enumeration value="Payment Management"/>
        </xsd:restriction>
      </xsd:simpleType>
    </xsd:element>
    <xsd:element name="Endorsing_x0020_Officer" ma:index="17" nillable="true" ma:displayName="Endorsing Officer" ma:list="UserInfo" ma:SharePointGroup="0" ma:internalName="Endorsing_x0020_Offic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ac5f6-0d75-4c55-a681-0835f604f482" elementFormDefault="qualified">
    <xsd:import namespace="http://schemas.microsoft.com/office/2006/documentManagement/types"/>
    <xsd:import namespace="http://schemas.microsoft.com/office/infopath/2007/PartnerControls"/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7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us xmlns="fc59432e-ae4a-4421-baa1-eafb91367645">Published Final</Document_x0020_Status>
    <Endorsing_x0020_Officer xmlns="fc59432e-ae4a-4421-baa1-eafb91367645">
      <UserInfo>
        <DisplayName/>
        <AccountId xsi:nil="true"/>
        <AccountType/>
      </UserInfo>
    </Endorsing_x0020_Officer>
    <_Version xmlns="http://schemas.microsoft.com/sharepoint/v3/fields">1.1</_Version>
    <Publication_x0020_Date xmlns="fc59432e-ae4a-4421-baa1-eafb91367645" xsi:nil="true"/>
    <Publication_x0020_Site xmlns="fc59432e-ae4a-4421-baa1-eafb91367645" xsi:nil="true"/>
    <Project xmlns="fc59432e-ae4a-4421-baa1-eafb91367645" xsi:nil="true"/>
    <Audience xmlns="fc59432e-ae4a-4421-baa1-eafb91367645">External</Audience>
    <Domain xmlns="fc59432e-ae4a-4421-baa1-eafb91367645">Super</Domain>
    <_dlc_DocId xmlns="609ac5f6-0d75-4c55-a681-0835f604f482">UWAP6TQF35DU-983241972-38940</_dlc_DocId>
    <_dlc_DocIdUrl xmlns="609ac5f6-0d75-4c55-a681-0835f604f482">
      <Url>http://atowss/sites/SWS/_layouts/DocIdRedir.aspx?ID=UWAP6TQF35DU-983241972-38940</Url>
      <Description>UWAP6TQF35DU-983241972-38940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E169F-DAE3-4227-ACAA-57C53C62D51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21D1944-D702-4B32-BBF9-FFB4638E2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c59432e-ae4a-4421-baa1-eafb91367645"/>
    <ds:schemaRef ds:uri="609ac5f6-0d75-4c55-a681-0835f604f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1AB63-BB85-40E8-9095-CB788DDC0C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4801B7-AB05-4272-AEE4-5E7478DBC9EA}">
  <ds:schemaRefs>
    <ds:schemaRef ds:uri="http://schemas.microsoft.com/office/2006/metadata/properties"/>
    <ds:schemaRef ds:uri="http://schemas.microsoft.com/office/infopath/2007/PartnerControls"/>
    <ds:schemaRef ds:uri="fc59432e-ae4a-4421-baa1-eafb91367645"/>
    <ds:schemaRef ds:uri="http://schemas.microsoft.com/sharepoint/v3/fields"/>
    <ds:schemaRef ds:uri="609ac5f6-0d75-4c55-a681-0835f604f482"/>
  </ds:schemaRefs>
</ds:datastoreItem>
</file>

<file path=customXml/itemProps5.xml><?xml version="1.0" encoding="utf-8"?>
<ds:datastoreItem xmlns:ds="http://schemas.openxmlformats.org/officeDocument/2006/customXml" ds:itemID="{6043F53B-42B1-44F4-B608-45FB75C6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Schematron ReadMe</vt:lpstr>
    </vt:vector>
  </TitlesOfParts>
  <Company>Australian Taxation Office</Company>
  <LinksUpToDate>false</LinksUpToDate>
  <CharactersWithSpaces>9553</CharactersWithSpaces>
  <SharedDoc>false</SharedDoc>
  <HLinks>
    <vt:vector size="204" baseType="variant">
      <vt:variant>
        <vt:i4>2621477</vt:i4>
      </vt:variant>
      <vt:variant>
        <vt:i4>250</vt:i4>
      </vt:variant>
      <vt:variant>
        <vt:i4>0</vt:i4>
      </vt:variant>
      <vt:variant>
        <vt:i4>5</vt:i4>
      </vt:variant>
      <vt:variant>
        <vt:lpwstr>http://www.schematron.com/</vt:lpwstr>
      </vt:variant>
      <vt:variant>
        <vt:lpwstr/>
      </vt:variant>
      <vt:variant>
        <vt:i4>2621477</vt:i4>
      </vt:variant>
      <vt:variant>
        <vt:i4>194</vt:i4>
      </vt:variant>
      <vt:variant>
        <vt:i4>0</vt:i4>
      </vt:variant>
      <vt:variant>
        <vt:i4>5</vt:i4>
      </vt:variant>
      <vt:variant>
        <vt:lpwstr>http://www.schematron.com/</vt:lpwstr>
      </vt:variant>
      <vt:variant>
        <vt:lpwstr/>
      </vt:variant>
      <vt:variant>
        <vt:i4>2687039</vt:i4>
      </vt:variant>
      <vt:variant>
        <vt:i4>191</vt:i4>
      </vt:variant>
      <vt:variant>
        <vt:i4>0</vt:i4>
      </vt:variant>
      <vt:variant>
        <vt:i4>5</vt:i4>
      </vt:variant>
      <vt:variant>
        <vt:lpwstr>http://www.codeplex.com/wikipage?ProjectName=MVPXML</vt:lpwstr>
      </vt:variant>
      <vt:variant>
        <vt:lpwstr/>
      </vt:variant>
      <vt:variant>
        <vt:i4>1441853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_Toc418516035</vt:lpwstr>
      </vt:variant>
      <vt:variant>
        <vt:i4>1441853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_Toc418516034</vt:lpwstr>
      </vt:variant>
      <vt:variant>
        <vt:i4>1441853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_Toc418516033</vt:lpwstr>
      </vt:variant>
      <vt:variant>
        <vt:i4>1441853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_Toc418516032</vt:lpwstr>
      </vt:variant>
      <vt:variant>
        <vt:i4>1441853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_Toc418516031</vt:lpwstr>
      </vt:variant>
      <vt:variant>
        <vt:i4>1441853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_Toc418516030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_Toc418516029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_Toc418516028</vt:lpwstr>
      </vt:variant>
      <vt:variant>
        <vt:i4>1507389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_Toc418516027</vt:lpwstr>
      </vt:variant>
      <vt:variant>
        <vt:i4>1507389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_Toc418516026</vt:lpwstr>
      </vt:variant>
      <vt:variant>
        <vt:i4>1507389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_Toc418516025</vt:lpwstr>
      </vt:variant>
      <vt:variant>
        <vt:i4>1507389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_Toc418516024</vt:lpwstr>
      </vt:variant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_Toc418516023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_Toc418516022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_Toc418516021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_Toc418516020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_Toc418516019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_Toc418516018</vt:lpwstr>
      </vt:variant>
      <vt:variant>
        <vt:i4>1310781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_Toc418516017</vt:lpwstr>
      </vt:variant>
      <vt:variant>
        <vt:i4>1310781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_Toc418516016</vt:lpwstr>
      </vt:variant>
      <vt:variant>
        <vt:i4>1310781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_Toc418516015</vt:lpwstr>
      </vt:variant>
      <vt:variant>
        <vt:i4>1310781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_Toc418516014</vt:lpwstr>
      </vt:variant>
      <vt:variant>
        <vt:i4>1310781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_Toc418516013</vt:lpwstr>
      </vt:variant>
      <vt:variant>
        <vt:i4>1310781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_Toc418516012</vt:lpwstr>
      </vt:variant>
      <vt:variant>
        <vt:i4>1310781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_Toc418516011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_Toc418516010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_Toc418516009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_Toc418516008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_Toc418516007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_Toc418516006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_Toc418516005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Schematron ReadMe</dc:title>
  <dc:subject>Schematron ReadMe</dc:subject>
  <dc:creator>Australian Taxation Office</dc:creator>
  <dc:description/>
  <cp:lastModifiedBy>Greg Dunbar</cp:lastModifiedBy>
  <cp:revision>5</cp:revision>
  <cp:lastPrinted>2014-04-17T00:16:00Z</cp:lastPrinted>
  <dcterms:created xsi:type="dcterms:W3CDTF">2020-05-25T23:31:00Z</dcterms:created>
  <dcterms:modified xsi:type="dcterms:W3CDTF">2021-06-07T04:26:00Z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0x0101009567C64BD2626147A6CDB32DF403B2B2</vt:lpwstr>
  </property>
  <property fmtid="{D5CDD505-2E9C-101B-9397-08002B2CF9AE}" pid="4" name="_dlc_DocIdItemGuid">
    <vt:lpwstr>87cf87d9-d685-40da-88b9-032c89a72292</vt:lpwstr>
  </property>
</Properties>
</file>